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0" w:rsidRDefault="00EE38D0" w:rsidP="00EE38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E38D0" w:rsidRDefault="00EE38D0" w:rsidP="00EE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E38D0" w:rsidRDefault="00EE38D0" w:rsidP="00EE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E38D0" w:rsidRDefault="00EE38D0" w:rsidP="00EE3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E38D0" w:rsidRDefault="00EE38D0" w:rsidP="00EE38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38D0" w:rsidRDefault="00161A44" w:rsidP="00EE3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</w:t>
      </w:r>
      <w:r w:rsidR="00EE38D0">
        <w:rPr>
          <w:rFonts w:ascii="Times New Roman" w:hAnsi="Times New Roman"/>
          <w:sz w:val="28"/>
          <w:szCs w:val="28"/>
        </w:rPr>
        <w:t xml:space="preserve"> 2020 г.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E38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E38D0">
        <w:rPr>
          <w:rFonts w:ascii="Times New Roman" w:hAnsi="Times New Roman"/>
          <w:sz w:val="28"/>
          <w:szCs w:val="28"/>
        </w:rPr>
        <w:t xml:space="preserve">     г. Георгиевск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8D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№ 820</w:t>
      </w:r>
    </w:p>
    <w:p w:rsidR="007340A2" w:rsidRPr="00EE38D0" w:rsidRDefault="007340A2" w:rsidP="007340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40A2" w:rsidRPr="00EE38D0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EE38D0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7340A2" w:rsidRDefault="007340A2" w:rsidP="007340A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Ставропольского края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0A2" w:rsidRPr="00EE38D0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EE38D0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FFD" w:rsidRPr="00EE38D0" w:rsidRDefault="001E4FFD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7340A2" w:rsidRDefault="007340A2" w:rsidP="007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8" w:history="1">
        <w:r w:rsidRPr="00734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ботки и принятия правовых актов о нормировании в сфере закупок для обе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</w:t>
      </w:r>
      <w:proofErr w:type="gramEnd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нужд Георгиевского городского округа Ставропол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края, содержанию указанных правовых актов и обеспечению их испо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в Георгиевском городском округе Ставропольского края» (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ниями, внесенными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Георгиевского горо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Ставропольского края от 10 сентября 2018 г. № 2373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08 н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 2019 г. № 3620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постановлением администрации Георгиевского горо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Ставропольского края от 21 ноября 2017 г. № 2154 «Об утве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ждении Правил определения нормативных затрат на обеспечение функций органов местного самоуправления Георгиевского городского округа Ставр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 (включая подведомственные казенные учреждения Георгие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="004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ниями, внесенными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Георгиевского горо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округа Ставропольского края </w:t>
      </w:r>
      <w:r w:rsidR="00BF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июля 2018 г. № 1897, 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5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proofErr w:type="gramEnd"/>
      <w:r w:rsidR="001E4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2019 г. № 3930)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</w:t>
      </w:r>
      <w:r w:rsidR="009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61 Устава Георгиевского городск</w:t>
      </w:r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Ставропольского края </w:t>
      </w:r>
    </w:p>
    <w:p w:rsidR="007340A2" w:rsidRPr="00EE38D0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EE38D0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Default="007340A2" w:rsidP="00EE38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2C2" w:rsidRPr="00EE38D0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C2" w:rsidRPr="00EE38D0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0A2" w:rsidRPr="007340A2" w:rsidRDefault="007340A2" w:rsidP="00EE38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011"/>
      <w:bookmarkStart w:id="2" w:name="sub_20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нормативные затраты на обеспечение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управления труда и социальной защиты населения администрации Гео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края.</w:t>
      </w:r>
    </w:p>
    <w:p w:rsidR="007340A2" w:rsidRPr="007340A2" w:rsidRDefault="007340A2" w:rsidP="00EE38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"/>
      <w:bookmarkEnd w:id="0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труда и социальной защиты населения администрации Георгиевского городского округа Ставропольского края</w:t>
      </w:r>
      <w:bookmarkEnd w:id="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(Капшук) </w:t>
      </w: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  <w:bookmarkEnd w:id="1"/>
    </w:p>
    <w:p w:rsidR="007340A2" w:rsidRPr="007340A2" w:rsidRDefault="007340A2" w:rsidP="00EE3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7340A2" w:rsidRPr="007340A2" w:rsidRDefault="007340A2" w:rsidP="00EE38D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Георгие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 от 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 2019 г.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1037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края».</w:t>
      </w:r>
    </w:p>
    <w:p w:rsidR="007340A2" w:rsidRPr="007340A2" w:rsidRDefault="007340A2" w:rsidP="00EE38D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EE3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7340A2" w:rsidRPr="007340A2" w:rsidRDefault="007340A2" w:rsidP="00EE38D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EE38D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340A2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со дня его принятия. </w:t>
      </w: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1E4FFD" w:rsidRDefault="000E15D8" w:rsidP="001E4F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полномочия Главы</w:t>
      </w:r>
    </w:p>
    <w:p w:rsidR="001E4FFD" w:rsidRPr="001E4FFD" w:rsidRDefault="00EE38D0" w:rsidP="001E4F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1E4FFD" w:rsidRPr="001E4FFD" w:rsidRDefault="001E4FFD" w:rsidP="001E4F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EE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</w:t>
      </w:r>
    </w:p>
    <w:p w:rsidR="001E4FFD" w:rsidRPr="001E4FFD" w:rsidRDefault="001E4FFD" w:rsidP="00E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1E4FFD" w:rsidRDefault="001E4FFD" w:rsidP="00E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1E4FFD" w:rsidRDefault="001E4FFD" w:rsidP="00E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1E4FFD" w:rsidRDefault="001E4FFD" w:rsidP="00EE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10" w:rsidRDefault="00553D10" w:rsidP="001E4FF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197" w:rsidRDefault="0020719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4B3D">
        <w:rPr>
          <w:rFonts w:ascii="Times New Roman" w:hAnsi="Times New Roman"/>
          <w:sz w:val="28"/>
          <w:szCs w:val="28"/>
        </w:rPr>
        <w:t>30 марта 2020 г. № 820</w:t>
      </w:r>
      <w:bookmarkStart w:id="4" w:name="_GoBack"/>
      <w:bookmarkEnd w:id="4"/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управления труда и социальной защиты населения администрации Георгиевского городского округа Ставропольского края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на обеспечение функций управления труда и социальной защиты населения администрации Георгиевского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(далее – нормативные затраты, управление)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объем закупок товаров, работ и услуг, порядок расчета которых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 Правилами определения нормативных затрат на обеспечение 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края, за исключением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учреждений, которым в установленном порядке формируется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задание на оказание муниципальных услуг, выполнение работ), утвержденными постановлением администрации Георгиевского городского округа Ставропольского края от 21 ноября 2017 г. № 2154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изменениями, внесенными постановлениями администрации Георгиевского городского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руга Ставропольского края от 30 июля 2018 г. № 1897, от 05 декабря    2019 г. № 3930)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Правила), а также устанавливает порядок определения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затрат, для которых Правилами не определен порядок расчета.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относятся: 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технологии;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капитальный ремонт муниципального имущества;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 муниципальной собственности или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объектов недвижимого имущества в муниципальную собственность;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дополнительное профессиональное образование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 и реализации государственных (муниципальных) функций).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расчета нормативных затрат используются формулы расчета,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Правилами, с учетом нормативов, установленных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 настоящим нормативным затратам.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основных средств определяется макс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мальным сроком полезного использования.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управлению как получателю средств бюджета Георгиевского городского округа Ставропольского края на закупку товаров, работ и услуг в рамках его исполнения.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 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нормативных затрат учитывается фактическая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работников управления на дату расчета нормативных затрат. 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применяется коэффициент 1.1, используемый на случай замещения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должностей. В случае, если полученное значение расчетной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 учетом коэффициента) превышает значение установленной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управления, при определении нормативных затрат используется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установленной штатной численности на дату расчета нормативных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трат.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расходов, рассчитанный с применением нормативных затрат по их видам, может быть изменен по решению начальника управления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утвержденных на эти цели лимитов бюджетных обязательств по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ветствующему коду классификации расходов бюджетов. </w:t>
      </w: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97" w:rsidRDefault="00207197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07197" w:rsidRDefault="00207197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</w:p>
    <w:p w:rsidR="00207197" w:rsidRDefault="00207197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207197" w:rsidRDefault="00207197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FD152F" w:rsidRDefault="00FD152F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D152F" w:rsidSect="00EE38D0">
          <w:headerReference w:type="default" r:id="rId9"/>
          <w:headerReference w:type="first" r:id="rId10"/>
          <w:pgSz w:w="11906" w:h="16838"/>
          <w:pgMar w:top="1418" w:right="567" w:bottom="851" w:left="1985" w:header="709" w:footer="709" w:gutter="0"/>
          <w:pgNumType w:start="1" w:chapStyle="1"/>
          <w:cols w:space="708"/>
          <w:titlePg/>
          <w:docGrid w:linePitch="360"/>
        </w:sectPr>
      </w:pPr>
    </w:p>
    <w:p w:rsidR="00FD152F" w:rsidRPr="00FD152F" w:rsidRDefault="00FD152F" w:rsidP="00FD15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D152F" w:rsidRPr="00FD152F" w:rsidRDefault="00FD152F" w:rsidP="00FD15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затратам на обе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функций управления труда и социальной защиты нас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Георгие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администрации Георгиевского городского округа Ставропольского края, применяемые при расчете затрат на приобретение товаров, работ, услуг</w:t>
      </w: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D152F" w:rsidRPr="00FD152F" w:rsidSect="00FD152F">
          <w:headerReference w:type="even" r:id="rId11"/>
          <w:headerReference w:type="default" r:id="rId12"/>
          <w:headerReference w:type="first" r:id="rId13"/>
          <w:pgSz w:w="16838" w:h="11906" w:orient="landscape"/>
          <w:pgMar w:top="1985" w:right="1418" w:bottom="567" w:left="1134" w:header="709" w:footer="709" w:gutter="0"/>
          <w:pgNumType w:start="0"/>
          <w:cols w:space="708"/>
          <w:titlePg/>
          <w:docGrid w:linePitch="360"/>
        </w:sect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>администрации Георгиевского городского округа Ставропольского края, применяемые при расчете затрат на обеспечение доступа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информационно-телекоммуникационную сеть «Интернет»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8347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546"/>
        <w:gridCol w:w="1545"/>
      </w:tblGrid>
      <w:tr w:rsidR="00FD152F" w:rsidRPr="00FD152F" w:rsidTr="00FD152F">
        <w:trPr>
          <w:trHeight w:val="43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Пропускная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способность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Количес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во каналов передачи данных (не более)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Стоимость в месяц руб.</w:t>
            </w:r>
          </w:p>
        </w:tc>
      </w:tr>
      <w:tr w:rsidR="00FD152F" w:rsidRPr="00FD152F" w:rsidTr="00FD152F">
        <w:trPr>
          <w:trHeight w:val="20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</w:tr>
      <w:tr w:rsidR="00FD152F" w:rsidRPr="00FD152F" w:rsidTr="00FD152F">
        <w:trPr>
          <w:trHeight w:val="480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Услуги по доступу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к информационно-телекоммуникацио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ной сети Интернет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≥1 </w:t>
            </w:r>
            <w:r w:rsidRPr="00FD152F">
              <w:rPr>
                <w:rFonts w:ascii="Times New Roman" w:eastAsia="Times New Roman" w:hAnsi="Times New Roman" w:cs="Times New Roman"/>
              </w:rPr>
              <w:t>Мегабит в секу</w:t>
            </w:r>
            <w:r w:rsidRPr="00FD152F">
              <w:rPr>
                <w:rFonts w:ascii="Times New Roman" w:eastAsia="Times New Roman" w:hAnsi="Times New Roman" w:cs="Times New Roman"/>
              </w:rPr>
              <w:t>н</w:t>
            </w:r>
            <w:r w:rsidRPr="00FD152F">
              <w:rPr>
                <w:rFonts w:ascii="Times New Roman" w:eastAsia="Times New Roman" w:hAnsi="Times New Roman" w:cs="Times New Roman"/>
              </w:rPr>
              <w:t>ду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не более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2 500</w:t>
            </w:r>
          </w:p>
        </w:tc>
      </w:tr>
      <w:tr w:rsidR="00FD152F" w:rsidRPr="00FD152F" w:rsidTr="00FD152F">
        <w:trPr>
          <w:trHeight w:val="300"/>
          <w:jc w:val="center"/>
        </w:trPr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≥10 </w:t>
            </w:r>
            <w:r w:rsidRPr="00FD152F">
              <w:rPr>
                <w:rFonts w:ascii="Times New Roman" w:eastAsia="Times New Roman" w:hAnsi="Times New Roman" w:cs="Times New Roman"/>
              </w:rPr>
              <w:t>Мегабит в с</w:t>
            </w:r>
            <w:r w:rsidRPr="00FD152F">
              <w:rPr>
                <w:rFonts w:ascii="Times New Roman" w:eastAsia="Times New Roman" w:hAnsi="Times New Roman" w:cs="Times New Roman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</w:rPr>
              <w:t>кунду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не более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3 500</w:t>
            </w:r>
          </w:p>
        </w:tc>
      </w:tr>
      <w:tr w:rsidR="00FD152F" w:rsidRPr="00FD152F" w:rsidTr="00FD152F">
        <w:trPr>
          <w:trHeight w:val="165"/>
          <w:jc w:val="center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≥30 </w:t>
            </w:r>
            <w:r w:rsidRPr="00FD152F">
              <w:rPr>
                <w:rFonts w:ascii="Times New Roman" w:eastAsia="Times New Roman" w:hAnsi="Times New Roman" w:cs="Times New Roman"/>
              </w:rPr>
              <w:t>Мегабит в с</w:t>
            </w:r>
            <w:r w:rsidRPr="00FD152F">
              <w:rPr>
                <w:rFonts w:ascii="Times New Roman" w:eastAsia="Times New Roman" w:hAnsi="Times New Roman" w:cs="Times New Roman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</w:rPr>
              <w:t>кунду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не более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16 000</w:t>
            </w:r>
          </w:p>
        </w:tc>
      </w:tr>
    </w:tbl>
    <w:p w:rsidR="00FD152F" w:rsidRPr="00FD152F" w:rsidRDefault="00FD152F" w:rsidP="00FD152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2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52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Георгиевского городского округа Ставропольского края, применяемые при расчете затрат на </w:t>
      </w:r>
      <w:r w:rsidRPr="00FD152F">
        <w:rPr>
          <w:rFonts w:ascii="Times New Roman" w:eastAsia="Calibri" w:hAnsi="Times New Roman" w:cs="Times New Roman"/>
          <w:sz w:val="28"/>
          <w:szCs w:val="28"/>
        </w:rPr>
        <w:t>услуги связи</w:t>
      </w:r>
      <w:proofErr w:type="gramStart"/>
      <w:r w:rsidRPr="00FD152F">
        <w:rPr>
          <w:rFonts w:ascii="Times New Roman" w:eastAsia="Calibri" w:hAnsi="Times New Roman" w:cs="Times New Roman"/>
          <w:sz w:val="28"/>
          <w:szCs w:val="24"/>
          <w:vertAlign w:val="superscript"/>
        </w:rPr>
        <w:t>2</w:t>
      </w:r>
      <w:proofErr w:type="gramEnd"/>
      <w:r w:rsidRPr="00FD152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8"/>
        <w:gridCol w:w="2034"/>
        <w:gridCol w:w="2552"/>
        <w:gridCol w:w="4110"/>
      </w:tblGrid>
      <w:tr w:rsidR="00FD152F" w:rsidRPr="00FD152F" w:rsidTr="00FD152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абонентских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Ежемесячные расходы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расчете на 1 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абонентский</w:t>
            </w:r>
            <w:proofErr w:type="gramEnd"/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(руб.)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985"/>
        <w:gridCol w:w="2551"/>
        <w:gridCol w:w="4111"/>
      </w:tblGrid>
      <w:tr w:rsidR="00FD152F" w:rsidRPr="00FD152F" w:rsidTr="00FD152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D152F" w:rsidRPr="00FD152F" w:rsidTr="00FD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Главная гру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 должн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стей муниц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 в расч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 на сотрудника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1500,00</w:t>
            </w:r>
          </w:p>
        </w:tc>
      </w:tr>
      <w:tr w:rsidR="00FD152F" w:rsidRPr="00FD152F" w:rsidTr="00FD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 в расч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 на сотрудника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1000,00</w:t>
            </w:r>
          </w:p>
        </w:tc>
      </w:tr>
    </w:tbl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и далее для управления труда и социальной защиты населения администрации Георгиевского горо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округа Ставропольского края указаны должности согласно перечню должностей муниципальной службы в соответствии с Законом Ставропольского края от 18.12.2007  № 65-кз «О Реестре должностей м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ниципальной службы в Ставропольском крае».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3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края,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при расчете затрат на приобретение компьютерного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периферийного оборудования,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копировальных аппаратов (оргтехники)</w:t>
      </w: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FD152F" w:rsidRPr="00FD152F" w:rsidTr="00FD152F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допуст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мая цена за единицу, руб.</w:t>
            </w:r>
          </w:p>
        </w:tc>
        <w:tc>
          <w:tcPr>
            <w:tcW w:w="1985" w:type="dxa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Должности</w:t>
            </w:r>
          </w:p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работников</w:t>
            </w:r>
          </w:p>
        </w:tc>
      </w:tr>
    </w:tbl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FD152F" w:rsidRPr="00FD152F" w:rsidTr="00FD152F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FD152F" w:rsidRPr="00FD152F" w:rsidTr="00FD152F">
        <w:trPr>
          <w:cantSplit/>
          <w:trHeight w:val="842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Системный блок 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60000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Монитор, подключа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мый к компьютеру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568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3 в расч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те на учреждение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50000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Планшетные компьют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ры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33000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1920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Компьютер персонал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ный настольный (мон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блок)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1штуки  в расчете на одного работника (при 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сутствии систе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ного блока и мон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тора, подключа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мого к компьют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ру)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60000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Принтер / многофун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циональное устройство (МФУ) (цветность печ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ти: черно-белая, формат печати: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15000/30000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Принтер (цветность п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чати: цветная, формат печати: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5 штук в расчете на учре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ж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дение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25000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Сканер, формат А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не более 5 штук в расчете на учре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ж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дение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20000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Копировальный </w:t>
            </w:r>
          </w:p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 штуки на учреждение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100000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FD152F" w:rsidRPr="00FD152F" w:rsidTr="00FD152F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 штуки на учреждение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5200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катег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 рабо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</w:tbl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3 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4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городского округа Ставропольского края,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носителей информации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FD152F" w:rsidRPr="00FD152F" w:rsidTr="00FD152F">
        <w:trPr>
          <w:trHeight w:val="762"/>
          <w:jc w:val="center"/>
        </w:trPr>
        <w:tc>
          <w:tcPr>
            <w:tcW w:w="3810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Максимально допустимая</w:t>
            </w:r>
          </w:p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</w:p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единицу, руб.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FD152F" w:rsidRPr="00FD152F" w:rsidTr="00FD152F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D152F" w:rsidRPr="00FD152F" w:rsidTr="00FD152F">
        <w:tc>
          <w:tcPr>
            <w:tcW w:w="3794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CD 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DVD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5 штук в год в ра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50,00</w:t>
            </w:r>
          </w:p>
        </w:tc>
      </w:tr>
      <w:tr w:rsidR="00FD152F" w:rsidRPr="00FD152F" w:rsidTr="00FD152F">
        <w:tc>
          <w:tcPr>
            <w:tcW w:w="3794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Flash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-карты и прочие тверд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тельные накопители емк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стью не более 16 Гб</w:t>
            </w:r>
          </w:p>
        </w:tc>
        <w:tc>
          <w:tcPr>
            <w:tcW w:w="3685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 штуки на 1 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ботника. Для электронной подписи – на каждый вид электронной подписи по 1 штуке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1000,00</w:t>
            </w:r>
          </w:p>
        </w:tc>
      </w:tr>
      <w:tr w:rsidR="00FD152F" w:rsidRPr="00FD152F" w:rsidTr="00FD152F">
        <w:tc>
          <w:tcPr>
            <w:tcW w:w="3794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более 1 штуки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5 работников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1500,00</w:t>
            </w:r>
          </w:p>
        </w:tc>
      </w:tr>
      <w:tr w:rsidR="00FD152F" w:rsidRPr="00FD152F" w:rsidTr="00FD152F">
        <w:tc>
          <w:tcPr>
            <w:tcW w:w="3794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накопители емк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стью более 16 Гб</w:t>
            </w:r>
          </w:p>
        </w:tc>
        <w:tc>
          <w:tcPr>
            <w:tcW w:w="3685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более 1 штуки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учреждение 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5000,00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5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расходных материалов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различных типов принтеров, многофункциональных устройств,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копировальных аппаратов (оргтехники)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D152F" w:rsidRPr="00FD152F" w:rsidTr="00FD152F">
        <w:trPr>
          <w:trHeight w:val="624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расходных 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териалов на 1 устройство</w:t>
            </w:r>
          </w:p>
        </w:tc>
        <w:tc>
          <w:tcPr>
            <w:tcW w:w="2118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Максимально допустимая ц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 единицу, руб.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FD152F" w:rsidRPr="00FD152F" w:rsidTr="00FD152F">
        <w:trPr>
          <w:trHeight w:val="20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vAlign w:val="center"/>
          </w:tcPr>
          <w:p w:rsidR="00FD152F" w:rsidRPr="00FD152F" w:rsidRDefault="00FD152F" w:rsidP="00FD15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FD152F" w:rsidRPr="00FD152F" w:rsidTr="00FD152F">
        <w:trPr>
          <w:trHeight w:val="34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Тонер-картридж  для копир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вального аппарата в ассорт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50 в 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5000,00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152F" w:rsidRPr="00FD152F" w:rsidTr="00FD152F">
        <w:trPr>
          <w:trHeight w:val="34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Тонер-картридж для принт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 / многофункционального устройства с функцией че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но-белой печати в ассорт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50 в 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4600,00/ 7400,00</w:t>
            </w:r>
          </w:p>
        </w:tc>
      </w:tr>
      <w:tr w:rsidR="00FD152F" w:rsidRPr="00FD152F" w:rsidTr="00FD152F">
        <w:trPr>
          <w:trHeight w:val="34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Картридж для принтера с функцией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10 в 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31300,00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6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периодических печатных изданий и справочной литературы, приобретаемых </w:t>
      </w: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труда и социальной защиты населения администрации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17"/>
      </w:tblGrid>
      <w:tr w:rsidR="00FD152F" w:rsidRPr="00FD152F" w:rsidTr="00FD152F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Наименования </w:t>
            </w:r>
          </w:p>
        </w:tc>
      </w:tr>
      <w:tr w:rsidR="00FD152F" w:rsidRPr="00FD152F" w:rsidTr="00FD152F">
        <w:trPr>
          <w:trHeight w:val="282"/>
        </w:trPr>
        <w:tc>
          <w:tcPr>
            <w:tcW w:w="540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Георгиевские известия</w:t>
            </w:r>
          </w:p>
        </w:tc>
      </w:tr>
      <w:tr w:rsidR="00FD152F" w:rsidRPr="00FD152F" w:rsidTr="00FD152F">
        <w:trPr>
          <w:trHeight w:val="272"/>
        </w:trPr>
        <w:tc>
          <w:tcPr>
            <w:tcW w:w="540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FD152F" w:rsidRPr="00FD152F" w:rsidRDefault="00FD152F" w:rsidP="00FD152F">
            <w:pPr>
              <w:keepNext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Московский Комсомолец «МК – Кавказ»</w:t>
            </w:r>
          </w:p>
        </w:tc>
      </w:tr>
      <w:tr w:rsidR="00FD152F" w:rsidRPr="00FD152F" w:rsidTr="00FD152F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D152F" w:rsidRPr="00FD152F" w:rsidRDefault="00FD152F" w:rsidP="00FD152F">
            <w:pPr>
              <w:keepNext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Ставропольская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правда</w:t>
            </w:r>
          </w:p>
        </w:tc>
      </w:tr>
      <w:tr w:rsidR="00FD152F" w:rsidRPr="00FD152F" w:rsidTr="00FD152F">
        <w:trPr>
          <w:trHeight w:val="5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D152F" w:rsidRPr="00FD152F" w:rsidRDefault="00FD152F" w:rsidP="00FD152F">
            <w:pPr>
              <w:keepNext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Статистические информационные материалы, статистические издания, информационно-статистические продукты, формируемые субъектами официального статистического учета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 по соответствующему коду классификации расходов.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7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транспортных средств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FD152F" w:rsidRPr="00FD152F" w:rsidTr="00FD152F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Должности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мощность</w:t>
            </w:r>
          </w:p>
        </w:tc>
      </w:tr>
      <w:tr w:rsidR="00FD152F" w:rsidRPr="00FD152F" w:rsidTr="00FD152F">
        <w:trPr>
          <w:trHeight w:val="1051"/>
        </w:trPr>
        <w:tc>
          <w:tcPr>
            <w:tcW w:w="320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Служебный легковой автотранспорт с перс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нальным закреплением</w:t>
            </w:r>
          </w:p>
        </w:tc>
        <w:tc>
          <w:tcPr>
            <w:tcW w:w="243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ления, замест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 начальника управления</w:t>
            </w:r>
          </w:p>
        </w:tc>
        <w:tc>
          <w:tcPr>
            <w:tcW w:w="1701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более 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единицы 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1,0 млн. рублей и не 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лее 150 лошад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ных сил 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8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мебели</w:t>
      </w: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5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FD152F" w:rsidRPr="00FD152F" w:rsidTr="00FD152F">
        <w:trPr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/</w:t>
            </w:r>
            <w:proofErr w:type="spell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Един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ца </w:t>
            </w:r>
            <w:proofErr w:type="spellStart"/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з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мере-ния</w:t>
            </w:r>
            <w:proofErr w:type="spellEnd"/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Сроки эк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плу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тации (лет)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Примечание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Цена пр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обретения за штуку, не более (руб.)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FD152F" w:rsidRPr="00FD152F" w:rsidTr="00FD152F">
        <w:trPr>
          <w:cantSplit/>
          <w:tblHeader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9782" w:type="dxa"/>
            <w:gridSpan w:val="7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Кабинет руководителя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15000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Стол приставной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15000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Стол для засед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ний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50000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Стол журнальный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Тумба приставная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Стулья  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 более при</w:t>
            </w:r>
          </w:p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сти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1800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Тумба под оргте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х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нику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22000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Шкаф для док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22000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Шкаф металлич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ский (сейф)  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19200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Жалюзи (портьеры)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окно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9000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Набор мягкой м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бели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для руков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дителя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50000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9782" w:type="dxa"/>
            <w:gridSpan w:val="7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Фойе (холл)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Стулья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 более при</w:t>
            </w:r>
          </w:p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сти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1800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Набор мягкой м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бели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для </w:t>
            </w:r>
            <w:proofErr w:type="spellStart"/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9782" w:type="dxa"/>
            <w:gridSpan w:val="7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Кабинеты сотрудников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1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13200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Тумба приставная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1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9500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Тумба под оргте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х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нику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1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8280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1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Стулья 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 более при</w:t>
            </w:r>
          </w:p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сти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1800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2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12000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Шкаф для док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2 работн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12000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Жалюзи (портьеры)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на окно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8200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89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Стеллажи металл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ческие</w:t>
            </w:r>
          </w:p>
        </w:tc>
        <w:tc>
          <w:tcPr>
            <w:tcW w:w="1158" w:type="dxa"/>
            <w:shd w:val="clear" w:color="auto" w:fill="auto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и более при</w:t>
            </w:r>
          </w:p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</w:rPr>
              <w:t>сти</w:t>
            </w:r>
          </w:p>
        </w:tc>
        <w:tc>
          <w:tcPr>
            <w:tcW w:w="1591" w:type="dxa"/>
            <w:shd w:val="clear" w:color="auto" w:fill="auto"/>
          </w:tcPr>
          <w:p w:rsidR="00FD152F" w:rsidRPr="00FD152F" w:rsidRDefault="00FD152F" w:rsidP="00FD15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7800</w:t>
            </w:r>
          </w:p>
        </w:tc>
      </w:tr>
    </w:tbl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52F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5</w:t>
      </w:r>
      <w:r w:rsidRPr="00FD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мебели может отличаться, и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сходя из фактической потребности, но не более лимитов бюдже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обязательств, предусмотренных на эти цели.</w:t>
      </w: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D152F" w:rsidRPr="00FD152F" w:rsidSect="00FD152F">
          <w:headerReference w:type="default" r:id="rId14"/>
          <w:pgSz w:w="11906" w:h="16838"/>
          <w:pgMar w:top="1418" w:right="567" w:bottom="1134" w:left="1985" w:header="709" w:footer="709" w:gutter="0"/>
          <w:pgNumType w:start="2"/>
          <w:cols w:space="708"/>
          <w:docGrid w:linePitch="381"/>
        </w:sect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9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 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канцелярских принадлежностей</w:t>
      </w:r>
      <w:proofErr w:type="gramStart"/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6</w:t>
      </w:r>
      <w:proofErr w:type="gramEnd"/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262"/>
        <w:gridCol w:w="1277"/>
        <w:gridCol w:w="1843"/>
        <w:gridCol w:w="1700"/>
        <w:gridCol w:w="1986"/>
        <w:gridCol w:w="2409"/>
        <w:gridCol w:w="2127"/>
      </w:tblGrid>
      <w:tr w:rsidR="00FD152F" w:rsidRPr="00FD152F" w:rsidTr="00FD152F">
        <w:trPr>
          <w:jc w:val="center"/>
        </w:trPr>
        <w:tc>
          <w:tcPr>
            <w:tcW w:w="538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Наименование</w:t>
            </w:r>
          </w:p>
        </w:tc>
        <w:tc>
          <w:tcPr>
            <w:tcW w:w="1277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Единица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 xml:space="preserve">измерения </w:t>
            </w:r>
          </w:p>
        </w:tc>
        <w:tc>
          <w:tcPr>
            <w:tcW w:w="3543" w:type="dxa"/>
            <w:gridSpan w:val="2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Норматив на человека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(количество)</w:t>
            </w:r>
          </w:p>
        </w:tc>
        <w:tc>
          <w:tcPr>
            <w:tcW w:w="1986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Для общих нужд учреждения</w:t>
            </w:r>
          </w:p>
        </w:tc>
        <w:tc>
          <w:tcPr>
            <w:tcW w:w="2409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Периодичность</w:t>
            </w:r>
          </w:p>
          <w:p w:rsidR="00FD152F" w:rsidRPr="00FD152F" w:rsidRDefault="00FD152F" w:rsidP="00FD152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приобретения</w:t>
            </w:r>
          </w:p>
        </w:tc>
        <w:tc>
          <w:tcPr>
            <w:tcW w:w="2127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ind w:left="-108" w:right="-1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lang w:eastAsia="ru-RU" w:bidi="ru-RU"/>
              </w:rPr>
              <w:t>Максимальная цена за единицу (руб.)</w:t>
            </w:r>
          </w:p>
        </w:tc>
      </w:tr>
      <w:tr w:rsidR="00FD152F" w:rsidRPr="00FD152F" w:rsidTr="00FD152F">
        <w:trPr>
          <w:jc w:val="center"/>
        </w:trPr>
        <w:tc>
          <w:tcPr>
            <w:tcW w:w="538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главная группа должностей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</w:t>
            </w:r>
          </w:p>
        </w:tc>
        <w:tc>
          <w:tcPr>
            <w:tcW w:w="1700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lang w:eastAsia="ru-RU"/>
              </w:rPr>
              <w:t>работники управления</w:t>
            </w:r>
          </w:p>
        </w:tc>
        <w:tc>
          <w:tcPr>
            <w:tcW w:w="1986" w:type="dxa"/>
            <w:vMerge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278"/>
        <w:gridCol w:w="1843"/>
        <w:gridCol w:w="1701"/>
        <w:gridCol w:w="1985"/>
        <w:gridCol w:w="2409"/>
        <w:gridCol w:w="2127"/>
      </w:tblGrid>
      <w:tr w:rsidR="00FD152F" w:rsidRPr="00FD152F" w:rsidTr="00FD152F">
        <w:trPr>
          <w:cantSplit/>
          <w:tblHeader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Расшиватель</w:t>
            </w:r>
            <w:proofErr w:type="spell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2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60,00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Блок для зап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сей/ бумага для заметок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штука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 для фа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рулон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Бумага для офисной техн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ки белая (фо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мат:</w:t>
            </w:r>
            <w:proofErr w:type="gram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proofErr w:type="gram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А3)</w:t>
            </w:r>
            <w:proofErr w:type="gramEnd"/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440,00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Бумага 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для офисной техн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ки белая (фо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мат:</w:t>
            </w:r>
            <w:proofErr w:type="gram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А</w:t>
            </w:r>
            <w:proofErr w:type="gram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4</w:t>
            </w:r>
            <w:proofErr w:type="gram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пачка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200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280,00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Дырокол (кол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чество проб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ваемых листов, 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 w:eastAsia="ru-RU" w:bidi="ru-RU"/>
              </w:rPr>
              <w:t>max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:≤ 40)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 на раб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3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770,00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Дырокол (кол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чество проб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ваемых листов, 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 w:eastAsia="ru-RU" w:bidi="ru-RU"/>
              </w:rPr>
              <w:t>min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:≥ 40; кол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чество проб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ваемых листов, 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n-US" w:eastAsia="ru-RU" w:bidi="ru-RU"/>
              </w:rPr>
              <w:t>max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:≤100)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на раб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чий кабинет 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3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1100,00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Зажим для бумаг </w:t>
            </w: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( </w:t>
            </w:r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количество штук в 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ке:≥10 и ≤24)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на раб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240,00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Калькулятор 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(при нео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ходимости)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(при н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обходим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сти)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5 лет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1100,00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Карандаш че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но-графитный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Клей канцеля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ский (тип: тве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дый)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60,00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Клей канцеля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ский (тип: жи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кий)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52,00</w:t>
            </w:r>
          </w:p>
        </w:tc>
      </w:tr>
      <w:tr w:rsidR="00FD152F" w:rsidRPr="00FD152F" w:rsidTr="00FD152F">
        <w:trPr>
          <w:cantSplit/>
          <w:trHeight w:val="501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Корректиру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ю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щая жидкость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60,00</w:t>
            </w:r>
          </w:p>
        </w:tc>
      </w:tr>
      <w:tr w:rsidR="00FD152F" w:rsidRPr="00FD152F" w:rsidTr="00FD152F">
        <w:trPr>
          <w:cantSplit/>
          <w:trHeight w:val="614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Клейкая лента канцелярская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на раб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100,00</w:t>
            </w:r>
          </w:p>
        </w:tc>
      </w:tr>
      <w:tr w:rsidR="00FD152F" w:rsidRPr="00FD152F" w:rsidTr="00FD152F">
        <w:trPr>
          <w:cantSplit/>
          <w:trHeight w:val="697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Книга регистр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ции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300,00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Конверт марк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рованный «А»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соответствии с действующим тарифом АО «Почта Ро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сии»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Краска ште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м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пельная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Стирательная</w:t>
            </w:r>
            <w:proofErr w:type="spell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резинка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Линейка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Клейкие закла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д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ки пластиковые 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120,00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Ножницы ка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целярские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3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170,00</w:t>
            </w:r>
          </w:p>
        </w:tc>
      </w:tr>
      <w:tr w:rsidR="00FD152F" w:rsidRPr="00FD152F" w:rsidTr="00FD152F">
        <w:trPr>
          <w:cantSplit/>
          <w:trHeight w:val="281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Папка картонная (способ фикс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ции: завязка, 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зинка)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</w:t>
            </w:r>
          </w:p>
        </w:tc>
        <w:tc>
          <w:tcPr>
            <w:tcW w:w="2262" w:type="dxa"/>
            <w:vAlign w:val="bottom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Папка картонная (тип: папка-регистратор)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220,00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Папка картонная (тип: папка-обложка без скоросшивателя)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40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Папка картонная (тип: скоросш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ватель)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40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60,00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Папка пластик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вая (тип: папка-конверт, способ фиксации: кно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40,00</w:t>
            </w:r>
          </w:p>
        </w:tc>
      </w:tr>
      <w:tr w:rsidR="00FD152F" w:rsidRPr="00FD152F" w:rsidTr="00FD152F">
        <w:trPr>
          <w:cantSplit/>
          <w:trHeight w:val="278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Папка пластик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вая (тип: папка файловая)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115,00</w:t>
            </w:r>
          </w:p>
        </w:tc>
      </w:tr>
      <w:tr w:rsidR="00FD152F" w:rsidRPr="00FD152F" w:rsidTr="00FD152F">
        <w:trPr>
          <w:cantSplit/>
          <w:trHeight w:val="372"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Ручка гелиевая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35,00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Ручка канцеля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ская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Скобы для </w:t>
            </w:r>
            <w:proofErr w:type="spell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сте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лера</w:t>
            </w:r>
            <w:proofErr w:type="spell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(размер скоб: № 23/10; </w:t>
            </w:r>
          </w:p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№ 23/15; № 23/20)</w:t>
            </w:r>
            <w:proofErr w:type="gramEnd"/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на раб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Скобы для </w:t>
            </w:r>
            <w:proofErr w:type="spell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сте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лера</w:t>
            </w:r>
            <w:proofErr w:type="spell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(размер скоб: № 10; № 24/6)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120,00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Степлер</w:t>
            </w:r>
            <w:proofErr w:type="spell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(кол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чество сшива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мых листов (80г/м</w:t>
            </w: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):≥100)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на раб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2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4500,00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33.</w:t>
            </w:r>
          </w:p>
        </w:tc>
        <w:tc>
          <w:tcPr>
            <w:tcW w:w="226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Степлер</w:t>
            </w:r>
            <w:proofErr w:type="spell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(кол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чество сшива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мых листов (80г/м</w:t>
            </w: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):≥40)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2 года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2300,00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34.</w:t>
            </w:r>
          </w:p>
        </w:tc>
        <w:tc>
          <w:tcPr>
            <w:tcW w:w="2262" w:type="dxa"/>
            <w:vAlign w:val="bottom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Скрепки мета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лические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60,00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Стержень для ручки канцеля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р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ской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Стержень для ручки гелиевой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15,00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Текстовыдел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тель</w:t>
            </w:r>
            <w:proofErr w:type="spellEnd"/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, маркер 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Точилка канц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лярская для 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рандашей (тип: механическая)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на раб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чий кабинет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5 лет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460,00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Точилка канц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лярская для к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а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рандашей (тип: ручная)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(при 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т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сутствии в кабинете </w:t>
            </w: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механич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ской</w:t>
            </w:r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)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 раз в 5 лет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45,00</w:t>
            </w:r>
          </w:p>
        </w:tc>
      </w:tr>
      <w:tr w:rsidR="00FD152F" w:rsidRPr="00FD152F" w:rsidTr="00FD152F">
        <w:trPr>
          <w:cantSplit/>
          <w:jc w:val="center"/>
        </w:trPr>
        <w:tc>
          <w:tcPr>
            <w:tcW w:w="537" w:type="dxa"/>
          </w:tcPr>
          <w:p w:rsidR="00FD152F" w:rsidRPr="00FD152F" w:rsidRDefault="00FD152F" w:rsidP="00FD152F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262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Файл-вкладыш (100 штук в уп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ковке)</w:t>
            </w:r>
          </w:p>
        </w:tc>
        <w:tc>
          <w:tcPr>
            <w:tcW w:w="1278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упако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в</w:t>
            </w: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ка</w:t>
            </w:r>
          </w:p>
        </w:tc>
        <w:tc>
          <w:tcPr>
            <w:tcW w:w="1843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 раз в год</w:t>
            </w:r>
          </w:p>
        </w:tc>
        <w:tc>
          <w:tcPr>
            <w:tcW w:w="2127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220,00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FD152F" w:rsidRPr="00FD152F" w:rsidRDefault="00FD152F" w:rsidP="00FD152F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6</w:t>
      </w:r>
      <w:r w:rsidRPr="00FD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канцелярских принадлежностей может отличаться и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сходя из фактической потребности, но не более лимитов бюджетных обязательств, предусмотре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на эти цели.</w:t>
      </w: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D152F" w:rsidRPr="00FD152F" w:rsidSect="00FD152F">
          <w:headerReference w:type="first" r:id="rId15"/>
          <w:pgSz w:w="16838" w:h="11906" w:orient="landscape"/>
          <w:pgMar w:top="1985" w:right="1418" w:bottom="567" w:left="1134" w:header="709" w:footer="709" w:gutter="0"/>
          <w:cols w:space="708"/>
          <w:docGrid w:linePitch="381"/>
        </w:sectPr>
      </w:pP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10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бытовой техники</w:t>
      </w:r>
      <w:proofErr w:type="gramStart"/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7</w:t>
      </w:r>
      <w:proofErr w:type="gramEnd"/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FD152F" w:rsidRPr="00FD152F" w:rsidTr="00FD152F">
        <w:trPr>
          <w:trHeight w:val="440"/>
        </w:trPr>
        <w:tc>
          <w:tcPr>
            <w:tcW w:w="637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Единица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измер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ния</w:t>
            </w:r>
          </w:p>
        </w:tc>
        <w:tc>
          <w:tcPr>
            <w:tcW w:w="1676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Количество (для общих нужд учр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ждения)</w:t>
            </w:r>
          </w:p>
        </w:tc>
        <w:tc>
          <w:tcPr>
            <w:tcW w:w="2011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Срок полезн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го использ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Макс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мальная цена за единицу, руб.</w:t>
            </w:r>
          </w:p>
        </w:tc>
      </w:tr>
      <w:tr w:rsidR="00FD152F" w:rsidRPr="00FD152F" w:rsidTr="00FD152F">
        <w:trPr>
          <w:trHeight w:val="440"/>
        </w:trPr>
        <w:tc>
          <w:tcPr>
            <w:tcW w:w="637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0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FD152F" w:rsidRPr="00FD152F" w:rsidTr="00FD152F">
        <w:trPr>
          <w:cantSplit/>
          <w:trHeight w:val="230"/>
          <w:tblHeader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колич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ству каб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нетов (при необход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мости)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40000,00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Кулер</w:t>
            </w:r>
            <w:proofErr w:type="spellEnd"/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8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val="en-US" w:eastAsia="ru-RU" w:bidi="ru-RU"/>
              </w:rPr>
              <w:t>000,00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Приборы отоп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тельные электр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ческие бытовые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3000,00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Печь микрово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новая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до 2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5000,00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Телевизор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38000,00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</w:rPr>
              <w:t>до 2</w:t>
            </w:r>
          </w:p>
        </w:tc>
        <w:tc>
          <w:tcPr>
            <w:tcW w:w="201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1611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21000,00</w:t>
            </w:r>
          </w:p>
        </w:tc>
      </w:tr>
      <w:tr w:rsidR="00FD152F" w:rsidRPr="00FD152F" w:rsidTr="00FD152F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Электрочайники бытовые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6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колич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ству каб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нетов (при необход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мости)</w:t>
            </w:r>
          </w:p>
        </w:tc>
        <w:tc>
          <w:tcPr>
            <w:tcW w:w="2030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en-US"/>
              </w:rPr>
              <w:t>5</w:t>
            </w:r>
          </w:p>
        </w:tc>
        <w:tc>
          <w:tcPr>
            <w:tcW w:w="159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2900,00</w:t>
            </w:r>
          </w:p>
        </w:tc>
      </w:tr>
      <w:tr w:rsidR="00FD152F" w:rsidRPr="00FD152F" w:rsidTr="00FD152F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Лампа настол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ная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6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колич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ству с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трудников (при нео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ходимости)</w:t>
            </w:r>
          </w:p>
        </w:tc>
        <w:tc>
          <w:tcPr>
            <w:tcW w:w="2030" w:type="dxa"/>
            <w:gridSpan w:val="2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en-US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en-US"/>
              </w:rPr>
              <w:t>5</w:t>
            </w:r>
          </w:p>
        </w:tc>
        <w:tc>
          <w:tcPr>
            <w:tcW w:w="1594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1200,0</w:t>
            </w:r>
          </w:p>
        </w:tc>
      </w:tr>
    </w:tbl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FD152F" w:rsidRPr="00FD152F" w:rsidRDefault="00FD152F" w:rsidP="00FD152F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7</w:t>
      </w:r>
      <w:r w:rsidRPr="00FD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средств бытовой техники может отличаться и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11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хозяйственных товаров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принадлежностей</w:t>
      </w: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8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FD152F" w:rsidRPr="00FD152F" w:rsidTr="00FD152F">
        <w:trPr>
          <w:trHeight w:val="440"/>
        </w:trPr>
        <w:tc>
          <w:tcPr>
            <w:tcW w:w="637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Единица</w:t>
            </w:r>
          </w:p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измер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ния</w:t>
            </w:r>
          </w:p>
        </w:tc>
        <w:tc>
          <w:tcPr>
            <w:tcW w:w="1676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Количество (для общих нужд учр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е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ждения)</w:t>
            </w:r>
          </w:p>
        </w:tc>
        <w:tc>
          <w:tcPr>
            <w:tcW w:w="1830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Периоди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ч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ность прио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б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ретения</w:t>
            </w:r>
          </w:p>
        </w:tc>
        <w:tc>
          <w:tcPr>
            <w:tcW w:w="1792" w:type="dxa"/>
            <w:vMerge w:val="restart"/>
            <w:vAlign w:val="center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Максимал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ь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ная цена за единицу, руб.</w:t>
            </w:r>
          </w:p>
        </w:tc>
      </w:tr>
      <w:tr w:rsidR="00FD152F" w:rsidRPr="00FD152F" w:rsidTr="00FD152F">
        <w:trPr>
          <w:trHeight w:val="440"/>
        </w:trPr>
        <w:tc>
          <w:tcPr>
            <w:tcW w:w="637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340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FD152F" w:rsidRPr="00FD152F" w:rsidTr="00FD152F">
        <w:trPr>
          <w:cantSplit/>
          <w:trHeight w:val="230"/>
          <w:tblHeader/>
        </w:trPr>
        <w:tc>
          <w:tcPr>
            <w:tcW w:w="637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Средство мо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ю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щее универсал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ь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ное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D152F">
                <w:rPr>
                  <w:rFonts w:ascii="Times New Roman" w:eastAsia="Calibri" w:hAnsi="Times New Roman" w:cs="Times New Roman"/>
                  <w:sz w:val="28"/>
                  <w:szCs w:val="24"/>
                  <w:lang w:eastAsia="ru-RU" w:bidi="ru-RU"/>
                </w:rPr>
                <w:t>5 л</w:t>
              </w:r>
            </w:smartTag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штука 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Средства</w:t>
            </w:r>
            <w:proofErr w:type="gramEnd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 xml:space="preserve"> мо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ю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щие для стекол и зеркал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FD152F">
                <w:rPr>
                  <w:rFonts w:ascii="Times New Roman" w:eastAsia="Calibri" w:hAnsi="Times New Roman" w:cs="Times New Roman"/>
                  <w:sz w:val="28"/>
                  <w:szCs w:val="24"/>
                  <w:lang w:eastAsia="ru-RU" w:bidi="ru-RU"/>
                </w:rPr>
                <w:t>0,5 л</w:t>
              </w:r>
            </w:smartTag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литр;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^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кубический дец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метр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Швабры 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год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450,00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Насадка для швабры / тряпка текстильная для очистки повер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ностей (назнач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ние: для мытья пола)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150,00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Перчатки рез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новые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Пара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 шт.)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Перчатки </w:t>
            </w:r>
            <w:proofErr w:type="spellStart"/>
            <w:proofErr w:type="gramStart"/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хло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</w:t>
            </w: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чато-бумажные</w:t>
            </w:r>
            <w:proofErr w:type="spellEnd"/>
            <w:proofErr w:type="gramEnd"/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Пара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 шт.)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Мешки для 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сора (30 шт.*30 л)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упаковка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25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50,00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Веник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год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200,00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Метла (щетка-метла)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год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350,00</w:t>
            </w:r>
          </w:p>
        </w:tc>
      </w:tr>
      <w:tr w:rsidR="00FD152F" w:rsidRPr="00FD152F" w:rsidTr="00FD152F">
        <w:trPr>
          <w:cantSplit/>
          <w:trHeight w:val="23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Ерш для унитаза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год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100,00</w:t>
            </w:r>
          </w:p>
        </w:tc>
      </w:tr>
      <w:tr w:rsidR="00FD152F" w:rsidRPr="00FD152F" w:rsidTr="00FD152F">
        <w:trPr>
          <w:cantSplit/>
          <w:trHeight w:val="412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Ведро без кры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 (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D152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12 л</w:t>
              </w:r>
            </w:smartTag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год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150,00</w:t>
            </w:r>
          </w:p>
        </w:tc>
      </w:tr>
      <w:tr w:rsidR="00FD152F" w:rsidRPr="00FD152F" w:rsidTr="00FD152F">
        <w:trPr>
          <w:cantSplit/>
          <w:trHeight w:val="56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Лестница-стремянка (7 ступеней)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3 года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2500,00</w:t>
            </w:r>
          </w:p>
        </w:tc>
      </w:tr>
      <w:tr w:rsidR="00FD152F" w:rsidRPr="00FD152F" w:rsidTr="00FD152F">
        <w:trPr>
          <w:cantSplit/>
          <w:trHeight w:val="271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Мыло туалетное (жидкое)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D152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5 л</w:t>
              </w:r>
            </w:smartTag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литр;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^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кубический дец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метр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200,00</w:t>
            </w:r>
          </w:p>
        </w:tc>
      </w:tr>
      <w:tr w:rsidR="00FD152F" w:rsidRPr="00FD152F" w:rsidTr="00FD152F">
        <w:trPr>
          <w:cantSplit/>
          <w:trHeight w:val="829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Чистящее сре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ство порошкоо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разное (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FD152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400 г</w:t>
              </w:r>
            </w:smartTag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штука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75,00</w:t>
            </w:r>
          </w:p>
        </w:tc>
      </w:tr>
      <w:tr w:rsidR="00FD152F" w:rsidRPr="00FD152F" w:rsidTr="00FD152F">
        <w:trPr>
          <w:cantSplit/>
          <w:trHeight w:val="840"/>
        </w:trPr>
        <w:tc>
          <w:tcPr>
            <w:tcW w:w="637" w:type="dxa"/>
          </w:tcPr>
          <w:p w:rsidR="00FD152F" w:rsidRPr="00FD152F" w:rsidRDefault="00FD152F" w:rsidP="00FD15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щие для туалетов и ванных комнат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D152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 л</w:t>
              </w:r>
            </w:smartTag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4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литр;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^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кубический дец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метр</w:t>
            </w:r>
          </w:p>
        </w:tc>
        <w:tc>
          <w:tcPr>
            <w:tcW w:w="1676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 w:bidi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0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1792" w:type="dxa"/>
          </w:tcPr>
          <w:p w:rsidR="00FD152F" w:rsidRPr="00FD152F" w:rsidRDefault="00FD152F" w:rsidP="00FD1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130,00</w:t>
            </w:r>
          </w:p>
        </w:tc>
      </w:tr>
    </w:tbl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FD152F" w:rsidRPr="00FD152F" w:rsidRDefault="00FD152F" w:rsidP="00FD152F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8</w:t>
      </w:r>
      <w:r w:rsidRPr="00FD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Количество хозяйственных товаров и принадлежностей может отличаться и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сходя из фактической потре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D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ности, но не более лимитов бюджетных обязательств, предусмотренных на эти цели.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12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 запасов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нужд гражданской обороны </w:t>
      </w: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D152F" w:rsidRPr="00FD152F" w:rsidTr="00FD152F">
        <w:trPr>
          <w:trHeight w:val="449"/>
          <w:jc w:val="center"/>
        </w:trPr>
        <w:tc>
          <w:tcPr>
            <w:tcW w:w="488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560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одного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работника, штук</w:t>
            </w:r>
          </w:p>
        </w:tc>
        <w:tc>
          <w:tcPr>
            <w:tcW w:w="1559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эксплуат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ции (лет)</w:t>
            </w:r>
          </w:p>
        </w:tc>
        <w:tc>
          <w:tcPr>
            <w:tcW w:w="1832" w:type="dxa"/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 прио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ретения за 1 штуку (руб.)</w:t>
            </w:r>
          </w:p>
        </w:tc>
      </w:tr>
      <w:tr w:rsidR="00FD152F" w:rsidRPr="00FD152F" w:rsidTr="00FD152F">
        <w:trPr>
          <w:trHeight w:val="1022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Противогаз гражда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ский фильтрующий (т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 ГП-7 и его модиф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кации)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(дополнительно 5% для подгонки и замены неиспра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ных противогазов)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2737,00</w:t>
            </w:r>
          </w:p>
        </w:tc>
      </w:tr>
      <w:tr w:rsidR="00FD152F" w:rsidRPr="00FD152F" w:rsidTr="00FD152F">
        <w:trPr>
          <w:trHeight w:val="828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Дополнительные патр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 к противогазам гр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жданским (ДПГ-3)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40% от расчетной численности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800,00</w:t>
            </w:r>
          </w:p>
        </w:tc>
      </w:tr>
      <w:tr w:rsidR="00FD152F" w:rsidRPr="00FD152F" w:rsidTr="00FD152F">
        <w:trPr>
          <w:trHeight w:val="219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Респиратор (Р-2, Р-2У)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300,00</w:t>
            </w:r>
          </w:p>
        </w:tc>
      </w:tr>
      <w:tr w:rsidR="00FD152F" w:rsidRPr="00FD152F" w:rsidTr="00FD152F">
        <w:trPr>
          <w:trHeight w:val="722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 индивидуал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ной медицинской гра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данской защиты (КИМГЗ)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850,00</w:t>
            </w:r>
          </w:p>
        </w:tc>
      </w:tr>
      <w:tr w:rsidR="00FD152F" w:rsidRPr="00FD152F" w:rsidTr="00FD152F">
        <w:trPr>
          <w:trHeight w:val="382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пер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вязочный пакет</w:t>
            </w:r>
          </w:p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(ИПП-1)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70,00</w:t>
            </w:r>
          </w:p>
        </w:tc>
      </w:tr>
      <w:tr w:rsidR="00FD152F" w:rsidRPr="00FD152F" w:rsidTr="00FD152F">
        <w:trPr>
          <w:trHeight w:val="832"/>
          <w:jc w:val="center"/>
        </w:trPr>
        <w:tc>
          <w:tcPr>
            <w:tcW w:w="488" w:type="dxa"/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110" w:type="dxa"/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тивохимический пакет (ИПП-11)</w:t>
            </w:r>
          </w:p>
        </w:tc>
        <w:tc>
          <w:tcPr>
            <w:tcW w:w="2560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120,00</w:t>
            </w:r>
          </w:p>
        </w:tc>
      </w:tr>
    </w:tbl>
    <w:p w:rsidR="00FD152F" w:rsidRPr="00FD152F" w:rsidRDefault="00FD152F" w:rsidP="00FD152F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13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затрат на приобретение </w:t>
      </w: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горюче-смазочных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материалов </w:t>
      </w: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FD152F" w:rsidRPr="00FD152F" w:rsidTr="00FD15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п\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Ед. 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</w:t>
            </w:r>
            <w:proofErr w:type="spell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на м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сяц</w:t>
            </w:r>
          </w:p>
        </w:tc>
      </w:tr>
      <w:tr w:rsidR="00FD152F" w:rsidRPr="00FD152F" w:rsidTr="00FD152F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труда и социальной защиты населения администрации Гео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гиевского городского округа Ставропольского края</w:t>
            </w:r>
          </w:p>
        </w:tc>
      </w:tr>
      <w:tr w:rsidR="00FD152F" w:rsidRPr="00FD152F" w:rsidTr="00FD15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Бензин автомобильный (ро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ничная реализация)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литр;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^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кубич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ский 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700</w:t>
            </w:r>
          </w:p>
        </w:tc>
      </w:tr>
    </w:tbl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14</w:t>
      </w:r>
    </w:p>
    <w:p w:rsidR="00FD152F" w:rsidRPr="00FD152F" w:rsidRDefault="00FD152F" w:rsidP="00FD1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</w:t>
      </w: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на проведение </w:t>
      </w:r>
      <w:proofErr w:type="spellStart"/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предрейсового</w:t>
      </w:r>
      <w:proofErr w:type="spellEnd"/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</w:t>
      </w: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рейсового осмотра водителей транспортных средств </w:t>
      </w:r>
    </w:p>
    <w:p w:rsidR="00FD152F" w:rsidRPr="00FD152F" w:rsidRDefault="00FD152F" w:rsidP="00FD1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FD152F" w:rsidRPr="00FD152F" w:rsidTr="00FD15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п\</w:t>
            </w:r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в день (руб. за ед.)</w:t>
            </w:r>
          </w:p>
        </w:tc>
      </w:tr>
      <w:tr w:rsidR="00FD152F" w:rsidRPr="00FD152F" w:rsidTr="00FD152F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труда и социальной защиты населения администрации</w:t>
            </w:r>
          </w:p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FD152F" w:rsidRPr="00FD152F" w:rsidTr="00FD15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медицинского освид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тельствования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35 </w:t>
            </w:r>
          </w:p>
        </w:tc>
      </w:tr>
      <w:tr w:rsidR="00FD152F" w:rsidRPr="00FD152F" w:rsidTr="00FD15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</w:tbl>
    <w:p w:rsidR="00FD152F" w:rsidRPr="00FD152F" w:rsidRDefault="00FD152F" w:rsidP="00FD152F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2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D152F" w:rsidRPr="00FD152F" w:rsidRDefault="00FD152F" w:rsidP="00FD152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15</w:t>
      </w:r>
    </w:p>
    <w:p w:rsidR="00FD152F" w:rsidRPr="00FD152F" w:rsidRDefault="00FD152F" w:rsidP="00FD152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</w:t>
      </w: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функций управления труда и социальной защиты населения</w:t>
      </w:r>
    </w:p>
    <w:p w:rsidR="00FD152F" w:rsidRPr="00FD152F" w:rsidRDefault="00FD152F" w:rsidP="00FD152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  <w:r w:rsidRPr="00F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при расчете </w:t>
      </w:r>
      <w:r w:rsidRPr="00FD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на проведение иных услуг </w:t>
      </w:r>
    </w:p>
    <w:p w:rsidR="00FD152F" w:rsidRPr="00FD152F" w:rsidRDefault="00FD152F" w:rsidP="00FD1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152F" w:rsidRPr="00FD152F" w:rsidRDefault="00FD152F" w:rsidP="00FD15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FD152F" w:rsidRPr="00FD152F" w:rsidTr="00FD152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proofErr w:type="gram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Стоимость, руб.</w:t>
            </w:r>
          </w:p>
        </w:tc>
      </w:tr>
      <w:tr w:rsidR="00FD152F" w:rsidRPr="00FD152F" w:rsidTr="00FD152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52F" w:rsidRPr="00FD152F" w:rsidRDefault="00FD152F" w:rsidP="00FD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2F" w:rsidRPr="00FD152F" w:rsidRDefault="00FD152F" w:rsidP="00F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более 3 000 в расчете на 1 чел.</w:t>
            </w:r>
          </w:p>
        </w:tc>
      </w:tr>
    </w:tbl>
    <w:p w:rsidR="00FD152F" w:rsidRPr="00FD152F" w:rsidRDefault="00FD152F" w:rsidP="00FD152F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197" w:rsidRDefault="00207197" w:rsidP="002071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07197" w:rsidSect="00FD152F">
      <w:footerReference w:type="default" r:id="rId1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BB" w:rsidRDefault="00643ABB" w:rsidP="004925F2">
      <w:pPr>
        <w:spacing w:after="0" w:line="240" w:lineRule="auto"/>
      </w:pPr>
      <w:r>
        <w:separator/>
      </w:r>
    </w:p>
  </w:endnote>
  <w:endnote w:type="continuationSeparator" w:id="0">
    <w:p w:rsidR="00643ABB" w:rsidRDefault="00643ABB" w:rsidP="004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F" w:rsidRDefault="00FD1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BB" w:rsidRDefault="00643ABB" w:rsidP="004925F2">
      <w:pPr>
        <w:spacing w:after="0" w:line="240" w:lineRule="auto"/>
      </w:pPr>
      <w:r>
        <w:separator/>
      </w:r>
    </w:p>
  </w:footnote>
  <w:footnote w:type="continuationSeparator" w:id="0">
    <w:p w:rsidR="00643ABB" w:rsidRDefault="00643ABB" w:rsidP="004925F2">
      <w:pPr>
        <w:spacing w:after="0" w:line="240" w:lineRule="auto"/>
      </w:pPr>
      <w:r>
        <w:continuationSeparator/>
      </w:r>
    </w:p>
  </w:footnote>
  <w:footnote w:id="1">
    <w:p w:rsidR="00FD152F" w:rsidRDefault="00FD152F" w:rsidP="00FD152F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 труда и социальной защиты населения администрации Георгиевского городского округа Ставропольского края</w:t>
      </w:r>
      <w:r w:rsidRPr="00BA0F53">
        <w:rPr>
          <w:sz w:val="20"/>
          <w:szCs w:val="20"/>
        </w:rPr>
        <w:t xml:space="preserve"> могут обеспечиваться предметами и услугами, не указанными в настоящем приложении, в пределах лимитов бюджетных обязательств.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041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152F" w:rsidRPr="00EE38D0" w:rsidRDefault="00FD152F" w:rsidP="00EE38D0">
        <w:pPr>
          <w:pStyle w:val="a3"/>
          <w:jc w:val="right"/>
          <w:rPr>
            <w:sz w:val="28"/>
            <w:szCs w:val="28"/>
          </w:rPr>
        </w:pPr>
        <w:r w:rsidRPr="00024F07">
          <w:rPr>
            <w:sz w:val="28"/>
            <w:szCs w:val="28"/>
          </w:rPr>
          <w:fldChar w:fldCharType="begin"/>
        </w:r>
        <w:r w:rsidRPr="00024F07">
          <w:rPr>
            <w:sz w:val="28"/>
            <w:szCs w:val="28"/>
          </w:rPr>
          <w:instrText>PAGE   \* MERGEFORMAT</w:instrText>
        </w:r>
        <w:r w:rsidRPr="00024F0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024F0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F" w:rsidRDefault="00FD152F">
    <w:pPr>
      <w:pStyle w:val="a3"/>
      <w:jc w:val="right"/>
    </w:pPr>
  </w:p>
  <w:p w:rsidR="00FD152F" w:rsidRDefault="00FD15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F" w:rsidRDefault="00FD152F">
    <w:pPr>
      <w:pStyle w:val="a3"/>
      <w:jc w:val="right"/>
    </w:pPr>
  </w:p>
  <w:p w:rsidR="00FD152F" w:rsidRDefault="00FD15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971226"/>
      <w:docPartObj>
        <w:docPartGallery w:val="Page Numbers (Top of Page)"/>
        <w:docPartUnique/>
      </w:docPartObj>
    </w:sdtPr>
    <w:sdtContent>
      <w:p w:rsidR="00FD152F" w:rsidRDefault="00FD152F">
        <w:pPr>
          <w:pStyle w:val="a3"/>
          <w:jc w:val="right"/>
        </w:pPr>
        <w:fldSimple w:instr="PAGE   \* MERGEFORMAT">
          <w:r>
            <w:t>2</w:t>
          </w:r>
        </w:fldSimple>
      </w:p>
    </w:sdtContent>
  </w:sdt>
  <w:p w:rsidR="00FD152F" w:rsidRDefault="00FD152F" w:rsidP="00FD152F">
    <w:pPr>
      <w:pStyle w:val="a3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F" w:rsidRDefault="00FD152F">
    <w:pPr>
      <w:pStyle w:val="a3"/>
      <w:jc w:val="right"/>
    </w:pPr>
  </w:p>
  <w:p w:rsidR="00FD152F" w:rsidRPr="00E9657C" w:rsidRDefault="00FD152F">
    <w:pPr>
      <w:pStyle w:val="a3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843521"/>
      <w:docPartObj>
        <w:docPartGallery w:val="Page Numbers (Top of Page)"/>
        <w:docPartUnique/>
      </w:docPartObj>
    </w:sdtPr>
    <w:sdtContent>
      <w:p w:rsidR="00FD152F" w:rsidRDefault="00FD152F" w:rsidP="00FD152F">
        <w:pPr>
          <w:pStyle w:val="a3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2F" w:rsidRDefault="00FD152F">
    <w:pPr>
      <w:pStyle w:val="a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D6E"/>
    <w:rsid w:val="00024F07"/>
    <w:rsid w:val="00050A1A"/>
    <w:rsid w:val="000E15D8"/>
    <w:rsid w:val="00161A44"/>
    <w:rsid w:val="001E4FFD"/>
    <w:rsid w:val="00207197"/>
    <w:rsid w:val="002D5644"/>
    <w:rsid w:val="002E1D5D"/>
    <w:rsid w:val="00394B3D"/>
    <w:rsid w:val="003C7B04"/>
    <w:rsid w:val="00456ED2"/>
    <w:rsid w:val="004712C2"/>
    <w:rsid w:val="004925F2"/>
    <w:rsid w:val="00541383"/>
    <w:rsid w:val="00542E81"/>
    <w:rsid w:val="00553D10"/>
    <w:rsid w:val="00643ABB"/>
    <w:rsid w:val="006677D9"/>
    <w:rsid w:val="00680642"/>
    <w:rsid w:val="00682589"/>
    <w:rsid w:val="00695B80"/>
    <w:rsid w:val="006C1D73"/>
    <w:rsid w:val="006D0915"/>
    <w:rsid w:val="007340A2"/>
    <w:rsid w:val="0079334C"/>
    <w:rsid w:val="007B069A"/>
    <w:rsid w:val="008358C5"/>
    <w:rsid w:val="00857B8E"/>
    <w:rsid w:val="008933B5"/>
    <w:rsid w:val="00995A53"/>
    <w:rsid w:val="009F5427"/>
    <w:rsid w:val="00A92292"/>
    <w:rsid w:val="00BF3696"/>
    <w:rsid w:val="00C62D6E"/>
    <w:rsid w:val="00DD4818"/>
    <w:rsid w:val="00E10665"/>
    <w:rsid w:val="00EE38D0"/>
    <w:rsid w:val="00FA39A7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A"/>
  </w:style>
  <w:style w:type="paragraph" w:styleId="1">
    <w:name w:val="heading 1"/>
    <w:basedOn w:val="a"/>
    <w:link w:val="10"/>
    <w:uiPriority w:val="99"/>
    <w:qFormat/>
    <w:rsid w:val="00FD152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D152F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D152F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D152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D152F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D152F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D152F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D152F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D152F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D152F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152F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152F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152F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D152F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D152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D152F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D152F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D152F"/>
    <w:rPr>
      <w:rFonts w:ascii="Cambria" w:eastAsia="Times New Roman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D152F"/>
  </w:style>
  <w:style w:type="paragraph" w:styleId="aa">
    <w:name w:val="Body Text Indent"/>
    <w:basedOn w:val="a"/>
    <w:link w:val="ab"/>
    <w:rsid w:val="00FD152F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1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D152F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1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D152F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D1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D152F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D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D1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D152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D152F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D152F"/>
  </w:style>
  <w:style w:type="character" w:customStyle="1" w:styleId="af1">
    <w:name w:val="Гипертекстовая ссылка"/>
    <w:uiPriority w:val="99"/>
    <w:rsid w:val="00FD152F"/>
    <w:rPr>
      <w:color w:val="106BBE"/>
    </w:rPr>
  </w:style>
  <w:style w:type="paragraph" w:customStyle="1" w:styleId="headertext">
    <w:name w:val="headertext"/>
    <w:basedOn w:val="a"/>
    <w:rsid w:val="00F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D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D1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D152F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D152F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D152F"/>
    <w:rPr>
      <w:b/>
      <w:bCs/>
    </w:rPr>
  </w:style>
  <w:style w:type="character" w:styleId="af8">
    <w:name w:val="Emphasis"/>
    <w:uiPriority w:val="20"/>
    <w:qFormat/>
    <w:rsid w:val="00FD152F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FD152F"/>
  </w:style>
  <w:style w:type="character" w:customStyle="1" w:styleId="af9">
    <w:name w:val="Цветовое выделение"/>
    <w:uiPriority w:val="99"/>
    <w:rsid w:val="00FD152F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D152F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D152F"/>
  </w:style>
  <w:style w:type="paragraph" w:customStyle="1" w:styleId="afd">
    <w:name w:val="Внимание: недобросовестность!"/>
    <w:basedOn w:val="afb"/>
    <w:next w:val="a"/>
    <w:uiPriority w:val="99"/>
    <w:rsid w:val="00FD152F"/>
  </w:style>
  <w:style w:type="character" w:customStyle="1" w:styleId="afe">
    <w:name w:val="Выделение для Базового Поиска"/>
    <w:uiPriority w:val="99"/>
    <w:rsid w:val="00FD152F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D152F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D152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D152F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D152F"/>
  </w:style>
  <w:style w:type="paragraph" w:customStyle="1" w:styleId="aff6">
    <w:name w:val="Заголовок статьи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D152F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D152F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D152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D15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D15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D152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D152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D152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D152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D152F"/>
  </w:style>
  <w:style w:type="paragraph" w:customStyle="1" w:styleId="afff6">
    <w:name w:val="Моноширинный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D152F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D152F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D152F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D152F"/>
    <w:pPr>
      <w:ind w:left="140"/>
    </w:pPr>
  </w:style>
  <w:style w:type="character" w:customStyle="1" w:styleId="afffd">
    <w:name w:val="Опечатки"/>
    <w:uiPriority w:val="99"/>
    <w:rsid w:val="00FD152F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D152F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D152F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D152F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D152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D152F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D152F"/>
  </w:style>
  <w:style w:type="paragraph" w:customStyle="1" w:styleId="affff5">
    <w:name w:val="Примечание."/>
    <w:basedOn w:val="afb"/>
    <w:next w:val="a"/>
    <w:uiPriority w:val="99"/>
    <w:rsid w:val="00FD152F"/>
  </w:style>
  <w:style w:type="character" w:customStyle="1" w:styleId="affff6">
    <w:name w:val="Продолжение ссылки"/>
    <w:uiPriority w:val="99"/>
    <w:rsid w:val="00FD152F"/>
  </w:style>
  <w:style w:type="paragraph" w:customStyle="1" w:styleId="affff7">
    <w:name w:val="Словарная статья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D152F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D152F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D152F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D152F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D152F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D152F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D15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152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D152F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D152F"/>
  </w:style>
  <w:style w:type="character" w:customStyle="1" w:styleId="25">
    <w:name w:val="Основной текст (2)_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D152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D152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D152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D15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D15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D152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D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D152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D15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D152F"/>
  </w:style>
  <w:style w:type="paragraph" w:styleId="afffff6">
    <w:name w:val="Title"/>
    <w:basedOn w:val="a"/>
    <w:next w:val="a"/>
    <w:link w:val="afffff7"/>
    <w:uiPriority w:val="99"/>
    <w:qFormat/>
    <w:rsid w:val="00FD152F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D152F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D152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D152F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D152F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D152F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D152F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D152F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D152F"/>
  </w:style>
  <w:style w:type="character" w:customStyle="1" w:styleId="14">
    <w:name w:val="Замещающий текст1"/>
    <w:uiPriority w:val="99"/>
    <w:semiHidden/>
    <w:rsid w:val="00FD152F"/>
    <w:rPr>
      <w:color w:val="808080"/>
    </w:rPr>
  </w:style>
  <w:style w:type="character" w:styleId="afffffb">
    <w:name w:val="Placeholder Text"/>
    <w:uiPriority w:val="99"/>
    <w:semiHidden/>
    <w:rsid w:val="00FD152F"/>
    <w:rPr>
      <w:color w:val="808080"/>
    </w:rPr>
  </w:style>
  <w:style w:type="character" w:customStyle="1" w:styleId="15">
    <w:name w:val="Просмотренная гиперссылка1"/>
    <w:basedOn w:val="a0"/>
    <w:uiPriority w:val="99"/>
    <w:unhideWhenUsed/>
    <w:rsid w:val="00FD152F"/>
    <w:rPr>
      <w:color w:val="800080"/>
      <w:u w:val="single"/>
    </w:rPr>
  </w:style>
  <w:style w:type="character" w:styleId="afffffc">
    <w:name w:val="FollowedHyperlink"/>
    <w:basedOn w:val="a0"/>
    <w:uiPriority w:val="99"/>
    <w:semiHidden/>
    <w:unhideWhenUsed/>
    <w:rsid w:val="00FD15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semiHidden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92C6-BD97-423C-800B-35E1DBD5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2020-03-19T05:34:00Z</cp:lastPrinted>
  <dcterms:created xsi:type="dcterms:W3CDTF">2020-05-13T12:31:00Z</dcterms:created>
  <dcterms:modified xsi:type="dcterms:W3CDTF">2020-05-13T12:31:00Z</dcterms:modified>
</cp:coreProperties>
</file>