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70" w:rsidRPr="00F226A0" w:rsidRDefault="00C53D70" w:rsidP="00066AFF">
      <w:pPr>
        <w:tabs>
          <w:tab w:val="left" w:pos="93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6A0">
        <w:rPr>
          <w:rFonts w:ascii="Times New Roman" w:hAnsi="Times New Roman" w:cs="Times New Roman"/>
          <w:b/>
          <w:bCs/>
          <w:sz w:val="28"/>
          <w:szCs w:val="28"/>
        </w:rPr>
        <w:t>Результаты мониторинга качества финансового менеджмента, осуществляемого главными распорядителями средств бюджета города Георгиевска за 201</w:t>
      </w:r>
      <w:r w:rsidR="0077280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226A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53D70" w:rsidRPr="00066AFF" w:rsidRDefault="00C53D70" w:rsidP="00F226A0">
      <w:pPr>
        <w:tabs>
          <w:tab w:val="left" w:pos="93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AFF">
        <w:rPr>
          <w:rFonts w:ascii="Times New Roman" w:hAnsi="Times New Roman" w:cs="Times New Roman"/>
          <w:sz w:val="28"/>
          <w:szCs w:val="28"/>
        </w:rPr>
        <w:t xml:space="preserve">В соответствии с Положением, утвержденным приказом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066AFF">
        <w:rPr>
          <w:rFonts w:ascii="Times New Roman" w:hAnsi="Times New Roman" w:cs="Times New Roman"/>
          <w:sz w:val="28"/>
          <w:szCs w:val="28"/>
        </w:rPr>
        <w:t>управления администрации города Георгиевска от 10 января 2014 г. № 12-р «Об утверждении Положения о проведении мониторинга качества финансового менеджмента, осуществляемого главными распорядителями средств бюджета города Георгиевска»</w:t>
      </w:r>
      <w:r w:rsidR="00A63C29">
        <w:rPr>
          <w:rFonts w:ascii="Times New Roman" w:hAnsi="Times New Roman" w:cs="Times New Roman"/>
          <w:sz w:val="28"/>
          <w:szCs w:val="28"/>
        </w:rPr>
        <w:t xml:space="preserve"> (с изменениями от 23.05.14г. № 37-р</w:t>
      </w:r>
      <w:r w:rsidR="00EB5E7D">
        <w:rPr>
          <w:rFonts w:ascii="Times New Roman" w:hAnsi="Times New Roman" w:cs="Times New Roman"/>
          <w:sz w:val="28"/>
          <w:szCs w:val="28"/>
        </w:rPr>
        <w:t>, от 05.04.2016г. № 38-р</w:t>
      </w:r>
      <w:r w:rsidR="00A63C29">
        <w:rPr>
          <w:rFonts w:ascii="Times New Roman" w:hAnsi="Times New Roman" w:cs="Times New Roman"/>
          <w:sz w:val="28"/>
          <w:szCs w:val="28"/>
        </w:rPr>
        <w:t>)</w:t>
      </w:r>
      <w:r w:rsidRPr="00066AFF">
        <w:rPr>
          <w:rFonts w:ascii="Times New Roman" w:hAnsi="Times New Roman" w:cs="Times New Roman"/>
          <w:sz w:val="28"/>
          <w:szCs w:val="28"/>
        </w:rPr>
        <w:t>, мониторинг качества финансового менеджмента проводится по показателям, сгруппированным по следующим направлениям:</w:t>
      </w:r>
      <w:proofErr w:type="gramEnd"/>
    </w:p>
    <w:p w:rsidR="00C53D70" w:rsidRPr="00066AFF" w:rsidRDefault="00C53D70" w:rsidP="00066A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1) планирование бюджета города Георгиевска;</w:t>
      </w:r>
    </w:p>
    <w:p w:rsidR="00C53D70" w:rsidRPr="00066AFF" w:rsidRDefault="00C53D70" w:rsidP="00066A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2) исполнение бюджета города Георгиевска;</w:t>
      </w:r>
    </w:p>
    <w:p w:rsidR="00C53D70" w:rsidRPr="00066AFF" w:rsidRDefault="00C53D70" w:rsidP="00066A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3) учет и отчетность;</w:t>
      </w:r>
    </w:p>
    <w:p w:rsidR="00C53D70" w:rsidRPr="00066AFF" w:rsidRDefault="00C53D70" w:rsidP="00066A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66AFF">
        <w:rPr>
          <w:rFonts w:ascii="Times New Roman" w:hAnsi="Times New Roman" w:cs="Times New Roman"/>
          <w:sz w:val="28"/>
          <w:szCs w:val="28"/>
        </w:rPr>
        <w:t>осуществление функций и полномочий ГРБС в отношении муниципальных учреждений города Георгиевска.</w:t>
      </w:r>
    </w:p>
    <w:p w:rsidR="00C53D70" w:rsidRDefault="00C53D70" w:rsidP="00066A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Мониторинг качества финансового менеджмента, осуществляемого главными распорядителями средств бюджета города Георгиевска (далее – мониторинг), проводился на основании  данных бюджетной отчетности за 201</w:t>
      </w:r>
      <w:r w:rsidR="00772803">
        <w:rPr>
          <w:rFonts w:ascii="Times New Roman" w:hAnsi="Times New Roman" w:cs="Times New Roman"/>
          <w:sz w:val="28"/>
          <w:szCs w:val="28"/>
        </w:rPr>
        <w:t>6</w:t>
      </w:r>
      <w:r w:rsidRPr="00066AFF">
        <w:rPr>
          <w:rFonts w:ascii="Times New Roman" w:hAnsi="Times New Roman" w:cs="Times New Roman"/>
          <w:sz w:val="28"/>
          <w:szCs w:val="28"/>
        </w:rPr>
        <w:t xml:space="preserve"> год, а также  материалов за 201</w:t>
      </w:r>
      <w:r w:rsidR="00772803">
        <w:rPr>
          <w:rFonts w:ascii="Times New Roman" w:hAnsi="Times New Roman" w:cs="Times New Roman"/>
          <w:sz w:val="28"/>
          <w:szCs w:val="28"/>
        </w:rPr>
        <w:t>6</w:t>
      </w:r>
      <w:r w:rsidRPr="00066AFF">
        <w:rPr>
          <w:rFonts w:ascii="Times New Roman" w:hAnsi="Times New Roman" w:cs="Times New Roman"/>
          <w:sz w:val="28"/>
          <w:szCs w:val="28"/>
        </w:rPr>
        <w:t xml:space="preserve"> год, представленных всеми главными распорядителями средств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Георгиевска</w:t>
      </w:r>
      <w:r w:rsidRPr="00066AFF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Георгиевска</w:t>
      </w:r>
      <w:r w:rsidRPr="00066A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3D70" w:rsidRPr="00066AFF" w:rsidRDefault="00C53D70" w:rsidP="00066A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 показателей производится по шкале от 0 до 100 баллов. Чем выше показатель, тем более высокий уровень оценки совокупности процессов и процедур, обеспечивающих эффективность и результативность использования бюджетных средств и охватывающих все элементы бюджетного процесса (составление проекта бюджета, исполнение бюджета, учет и отчетность, осуществление контроля и аудита), осуществляемых ГРБС.</w:t>
      </w:r>
    </w:p>
    <w:p w:rsidR="00C53D70" w:rsidRDefault="00C53D70" w:rsidP="00066A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Результаты мониторинга в разрезе направлений представлены в </w:t>
      </w:r>
      <w:r w:rsidRPr="00BB21E4">
        <w:rPr>
          <w:rFonts w:ascii="Times New Roman" w:hAnsi="Times New Roman" w:cs="Times New Roman"/>
          <w:sz w:val="28"/>
          <w:szCs w:val="28"/>
        </w:rPr>
        <w:t>приложении 1.</w:t>
      </w:r>
    </w:p>
    <w:p w:rsidR="00C53D70" w:rsidRDefault="00C53D70" w:rsidP="0074392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1</w:t>
      </w:r>
      <w:r w:rsidRPr="002C702B">
        <w:rPr>
          <w:rFonts w:ascii="Times New Roman" w:hAnsi="Times New Roman" w:cs="Times New Roman"/>
          <w:sz w:val="28"/>
          <w:szCs w:val="28"/>
        </w:rPr>
        <w:t xml:space="preserve">. </w:t>
      </w:r>
      <w:r w:rsidRPr="001E3C53">
        <w:rPr>
          <w:rFonts w:ascii="Times New Roman" w:hAnsi="Times New Roman" w:cs="Times New Roman"/>
          <w:sz w:val="28"/>
          <w:szCs w:val="28"/>
        </w:rPr>
        <w:t>Оценка качества планирования бюджета</w:t>
      </w:r>
      <w:r w:rsidRPr="002C702B">
        <w:rPr>
          <w:rFonts w:ascii="Times New Roman" w:hAnsi="Times New Roman" w:cs="Times New Roman"/>
          <w:sz w:val="28"/>
          <w:szCs w:val="28"/>
        </w:rPr>
        <w:t xml:space="preserve"> производилась на основании исходных данных, содержащихся в бюджетной отчетности ГРБС и иной информации, находящейся в распоряжении финансового управления администрации города Георгиевска,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C702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показателям </w:t>
      </w:r>
      <w:r w:rsidRPr="002C702B">
        <w:rPr>
          <w:rFonts w:ascii="Times New Roman" w:hAnsi="Times New Roman" w:cs="Times New Roman"/>
          <w:sz w:val="28"/>
          <w:szCs w:val="28"/>
        </w:rPr>
        <w:t>частот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C702B">
        <w:rPr>
          <w:rFonts w:ascii="Times New Roman" w:hAnsi="Times New Roman" w:cs="Times New Roman"/>
          <w:sz w:val="28"/>
          <w:szCs w:val="28"/>
        </w:rPr>
        <w:t xml:space="preserve"> внесения изменений в бюджетную роспись, своевременности представления обоснований бюджетных ассигнований.</w:t>
      </w:r>
    </w:p>
    <w:p w:rsidR="00C53D70" w:rsidRPr="00066AFF" w:rsidRDefault="00C53D70" w:rsidP="0074392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lastRenderedPageBreak/>
        <w:t xml:space="preserve">Большое количество изменений в бюджетную роспись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свидетельствует о низком качестве планирования расходов, не учитывающее фактических возможностей по выполнению плана. </w:t>
      </w:r>
    </w:p>
    <w:p w:rsidR="00C53D70" w:rsidRDefault="00C53D70" w:rsidP="00B02FA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Default="00C53D70" w:rsidP="00B02FA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Итоговый рейтинг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по показателям, входящим в первое направление представлен ниже: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Pr="00066AFF" w:rsidRDefault="007A37C0" w:rsidP="00A513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05550" cy="3724275"/>
            <wp:effectExtent l="19050" t="0" r="0" b="0"/>
            <wp:docPr id="5" name="Объект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2. При оценке </w:t>
      </w:r>
      <w:proofErr w:type="gramStart"/>
      <w:r w:rsidRPr="00385122">
        <w:rPr>
          <w:rFonts w:ascii="Times New Roman" w:hAnsi="Times New Roman" w:cs="Times New Roman"/>
          <w:sz w:val="28"/>
          <w:szCs w:val="28"/>
        </w:rPr>
        <w:t xml:space="preserve">качества исполнения бюджета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proofErr w:type="gramEnd"/>
      <w:r w:rsidR="00A51360">
        <w:rPr>
          <w:rFonts w:ascii="Times New Roman" w:hAnsi="Times New Roman" w:cs="Times New Roman"/>
          <w:sz w:val="28"/>
          <w:szCs w:val="28"/>
        </w:rPr>
        <w:t xml:space="preserve"> </w:t>
      </w:r>
      <w:r w:rsidRPr="00066AFF">
        <w:rPr>
          <w:rFonts w:ascii="Times New Roman" w:hAnsi="Times New Roman" w:cs="Times New Roman"/>
          <w:sz w:val="28"/>
          <w:szCs w:val="28"/>
        </w:rPr>
        <w:t>использовались следующие показатели: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- равномерность осуществления расходов;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 по расчетам с поставщиками и подрядчиками;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 по платежам в бюджеты;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отклонение кассового исполнения расходов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от кассового плана;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сравнение кассового исполнения расходов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с кассовым планом в </w:t>
      </w:r>
      <w:r w:rsidRPr="00066AF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6AFF">
        <w:rPr>
          <w:rFonts w:ascii="Times New Roman" w:hAnsi="Times New Roman" w:cs="Times New Roman"/>
          <w:sz w:val="28"/>
          <w:szCs w:val="28"/>
        </w:rPr>
        <w:t xml:space="preserve"> квартале отчетного года;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качество управления средствами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066AFF">
        <w:rPr>
          <w:rFonts w:ascii="Times New Roman" w:hAnsi="Times New Roman" w:cs="Times New Roman"/>
          <w:sz w:val="28"/>
          <w:szCs w:val="28"/>
        </w:rPr>
        <w:t xml:space="preserve"> бюджета в части предоставления субсидий на выполнение </w:t>
      </w:r>
      <w:r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066AFF">
        <w:rPr>
          <w:rFonts w:ascii="Times New Roman" w:hAnsi="Times New Roman" w:cs="Times New Roman"/>
          <w:sz w:val="28"/>
          <w:szCs w:val="28"/>
        </w:rPr>
        <w:t>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- эффективность управления дебиторской задолженностью по расчетам с дебиторами по доходам.</w:t>
      </w:r>
    </w:p>
    <w:p w:rsidR="00C53D70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lastRenderedPageBreak/>
        <w:t xml:space="preserve">Итоговый рейтинг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по показателям, входящим во второе направление представлен ниже: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Default="007A37C0" w:rsidP="00562D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4105275"/>
            <wp:effectExtent l="19050" t="0" r="0" b="0"/>
            <wp:docPr id="1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3. Для оценки по направлению </w:t>
      </w:r>
      <w:r w:rsidRPr="00C150B4">
        <w:rPr>
          <w:rFonts w:ascii="Times New Roman" w:hAnsi="Times New Roman" w:cs="Times New Roman"/>
          <w:sz w:val="28"/>
          <w:szCs w:val="28"/>
        </w:rPr>
        <w:t>учет и отчетность</w:t>
      </w:r>
      <w:r w:rsidRPr="00066AFF">
        <w:rPr>
          <w:rFonts w:ascii="Times New Roman" w:hAnsi="Times New Roman" w:cs="Times New Roman"/>
          <w:sz w:val="28"/>
          <w:szCs w:val="28"/>
        </w:rPr>
        <w:t xml:space="preserve"> анализ проведен по следующим показателям: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представление в составе годовой отчетности об исполнении бюджета </w:t>
      </w:r>
      <w:r>
        <w:rPr>
          <w:rFonts w:ascii="Times New Roman" w:hAnsi="Times New Roman" w:cs="Times New Roman"/>
          <w:sz w:val="28"/>
          <w:szCs w:val="28"/>
        </w:rPr>
        <w:t>ГРБС города Георгиевска</w:t>
      </w:r>
      <w:r w:rsidRPr="00066AFF">
        <w:rPr>
          <w:rFonts w:ascii="Times New Roman" w:hAnsi="Times New Roman" w:cs="Times New Roman"/>
          <w:sz w:val="28"/>
          <w:szCs w:val="28"/>
        </w:rPr>
        <w:t xml:space="preserve"> сведений о мерах по повышению </w:t>
      </w:r>
      <w:proofErr w:type="gramStart"/>
      <w:r w:rsidRPr="00066AFF">
        <w:rPr>
          <w:rFonts w:ascii="Times New Roman" w:hAnsi="Times New Roman" w:cs="Times New Roman"/>
          <w:sz w:val="28"/>
          <w:szCs w:val="28"/>
        </w:rPr>
        <w:t>эффективности расходов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  <w:proofErr w:type="gramEnd"/>
      <w:r w:rsidRPr="00066AFF">
        <w:rPr>
          <w:rFonts w:ascii="Times New Roman" w:hAnsi="Times New Roman" w:cs="Times New Roman"/>
          <w:sz w:val="28"/>
          <w:szCs w:val="28"/>
        </w:rPr>
        <w:t>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своевременность представления отчетности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ГРБС </w:t>
      </w:r>
      <w:r w:rsidRPr="00066AFF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066AF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Георгиевска</w:t>
      </w:r>
      <w:r w:rsidRPr="00066AFF">
        <w:rPr>
          <w:rFonts w:ascii="Times New Roman" w:hAnsi="Times New Roman" w:cs="Times New Roman"/>
          <w:sz w:val="28"/>
          <w:szCs w:val="28"/>
        </w:rPr>
        <w:t>;</w:t>
      </w:r>
    </w:p>
    <w:p w:rsidR="00C53D70" w:rsidRPr="00066AFF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своевременность представления бухгалтерской отчетности </w:t>
      </w:r>
      <w:r>
        <w:rPr>
          <w:rFonts w:ascii="Times New Roman" w:hAnsi="Times New Roman" w:cs="Times New Roman"/>
          <w:sz w:val="28"/>
          <w:szCs w:val="28"/>
        </w:rPr>
        <w:t>ГРБС муниципальным</w:t>
      </w:r>
      <w:r w:rsidRPr="00066AF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6AFF">
        <w:rPr>
          <w:rFonts w:ascii="Times New Roman" w:hAnsi="Times New Roman" w:cs="Times New Roman"/>
          <w:sz w:val="28"/>
          <w:szCs w:val="28"/>
        </w:rPr>
        <w:t xml:space="preserve"> и автономны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6AFF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A51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066A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66AFF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="00A51360">
        <w:rPr>
          <w:rFonts w:ascii="Times New Roman" w:hAnsi="Times New Roman" w:cs="Times New Roman"/>
          <w:sz w:val="28"/>
          <w:szCs w:val="28"/>
        </w:rPr>
        <w:t xml:space="preserve"> </w:t>
      </w:r>
      <w:r w:rsidRPr="00066AFF">
        <w:rPr>
          <w:rFonts w:ascii="Times New Roman" w:hAnsi="Times New Roman" w:cs="Times New Roman"/>
          <w:sz w:val="28"/>
          <w:szCs w:val="28"/>
        </w:rPr>
        <w:t>в</w:t>
      </w:r>
      <w:r w:rsidR="00A51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Георгиевска</w:t>
      </w:r>
      <w:r w:rsidRPr="00066AFF">
        <w:rPr>
          <w:rFonts w:ascii="Times New Roman" w:hAnsi="Times New Roman" w:cs="Times New Roman"/>
          <w:sz w:val="28"/>
          <w:szCs w:val="28"/>
        </w:rPr>
        <w:t>.</w:t>
      </w:r>
    </w:p>
    <w:p w:rsidR="00C53D70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lastRenderedPageBreak/>
        <w:t xml:space="preserve">Итоговый рейтинг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по показателям, входящим в третье направление представлен ниже: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Default="007A37C0" w:rsidP="005617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72200" cy="3876675"/>
            <wp:effectExtent l="19050" t="0" r="0" b="0"/>
            <wp:docPr id="32" name="Объект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F582C" w:rsidRDefault="006F582C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Pr="00ED714C" w:rsidRDefault="00C53D70" w:rsidP="00B02FA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4. Для оценки по направлению </w:t>
      </w:r>
      <w:r w:rsidRPr="00ED714C">
        <w:rPr>
          <w:rFonts w:ascii="Times New Roman" w:hAnsi="Times New Roman" w:cs="Times New Roman"/>
          <w:sz w:val="28"/>
          <w:szCs w:val="28"/>
        </w:rPr>
        <w:t xml:space="preserve">осуществление функций и полномочий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ED714C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D714C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ED714C">
        <w:rPr>
          <w:rFonts w:ascii="Times New Roman" w:hAnsi="Times New Roman" w:cs="Times New Roman"/>
          <w:sz w:val="28"/>
          <w:szCs w:val="28"/>
        </w:rPr>
        <w:t xml:space="preserve"> оценивались следующие показатели:</w:t>
      </w:r>
    </w:p>
    <w:p w:rsidR="00C53D70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проведение независимой оценки соответствия качества фактически </w:t>
      </w:r>
      <w:r>
        <w:rPr>
          <w:rFonts w:ascii="Times New Roman" w:hAnsi="Times New Roman" w:cs="Times New Roman"/>
          <w:sz w:val="28"/>
          <w:szCs w:val="28"/>
        </w:rPr>
        <w:t>оказываемых</w:t>
      </w:r>
      <w:r w:rsidR="00561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6AFF">
        <w:rPr>
          <w:rFonts w:ascii="Times New Roman" w:hAnsi="Times New Roman" w:cs="Times New Roman"/>
          <w:sz w:val="28"/>
          <w:szCs w:val="28"/>
        </w:rPr>
        <w:t xml:space="preserve"> услуг утвержденным требованиям к качеству их оказания;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наличие результатов </w:t>
      </w:r>
      <w:proofErr w:type="gramStart"/>
      <w:r w:rsidRPr="00066AF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66AFF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6AFF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6AFF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доля руководителей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6AFF">
        <w:rPr>
          <w:rFonts w:ascii="Times New Roman" w:hAnsi="Times New Roman" w:cs="Times New Roman"/>
          <w:sz w:val="28"/>
          <w:szCs w:val="28"/>
        </w:rPr>
        <w:t xml:space="preserve"> учреждений, оплата труда которых определяется с учетом результатов их профессиональной деятельности;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удельный вес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6AFF">
        <w:rPr>
          <w:rFonts w:ascii="Times New Roman" w:hAnsi="Times New Roman" w:cs="Times New Roman"/>
          <w:sz w:val="28"/>
          <w:szCs w:val="28"/>
        </w:rPr>
        <w:t xml:space="preserve"> учреждений, выполнивших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066AFF">
        <w:rPr>
          <w:rFonts w:ascii="Times New Roman" w:hAnsi="Times New Roman" w:cs="Times New Roman"/>
          <w:sz w:val="28"/>
          <w:szCs w:val="28"/>
        </w:rPr>
        <w:t xml:space="preserve"> задание в объеме 100 %;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>- регламентация процедур оказания платных услуг подведомственными учреждениями;</w:t>
      </w:r>
    </w:p>
    <w:p w:rsidR="00C53D70" w:rsidRPr="00066AFF" w:rsidRDefault="00C53D70" w:rsidP="00B02F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t xml:space="preserve">- наличие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формы, обеспечивающей функцию обратной связи с потребителями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6AFF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C53D70" w:rsidRDefault="00C53D70" w:rsidP="00066A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FF">
        <w:rPr>
          <w:rFonts w:ascii="Times New Roman" w:hAnsi="Times New Roman" w:cs="Times New Roman"/>
          <w:sz w:val="28"/>
          <w:szCs w:val="28"/>
        </w:rPr>
        <w:lastRenderedPageBreak/>
        <w:t xml:space="preserve">Итоговый рейтинг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066AFF">
        <w:rPr>
          <w:rFonts w:ascii="Times New Roman" w:hAnsi="Times New Roman" w:cs="Times New Roman"/>
          <w:sz w:val="28"/>
          <w:szCs w:val="28"/>
        </w:rPr>
        <w:t xml:space="preserve"> по показателям, входящим в четвертое  направление представлен ниже:</w:t>
      </w:r>
    </w:p>
    <w:p w:rsidR="00C537C3" w:rsidRPr="00066AFF" w:rsidRDefault="00C537C3" w:rsidP="00066A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Pr="00066AFF" w:rsidRDefault="007A37C0" w:rsidP="00066A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4105275"/>
            <wp:effectExtent l="19050" t="0" r="0" b="0"/>
            <wp:docPr id="14" name="Объект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752FC" w:rsidRDefault="00A752FC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52FC" w:rsidRDefault="00A752FC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055" w:rsidRDefault="00EF7055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3D70" w:rsidRPr="00066AFF" w:rsidRDefault="00C53D70" w:rsidP="00066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Итоговая оценка качества финансового менеджмента, осуществляемого ГРБС, </w:t>
      </w:r>
      <w:r w:rsidRPr="00066AFF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6AFF">
        <w:rPr>
          <w:rFonts w:ascii="Times New Roman" w:hAnsi="Times New Roman" w:cs="Times New Roman"/>
          <w:sz w:val="28"/>
          <w:szCs w:val="28"/>
        </w:rPr>
        <w:t xml:space="preserve"> ниже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3D70" w:rsidRPr="00066AFF" w:rsidRDefault="007A3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2625" cy="3886200"/>
            <wp:effectExtent l="0" t="0" r="0" b="0"/>
            <wp:docPr id="38" name="Объект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C53D70" w:rsidRPr="00066AFF" w:rsidSect="00547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CE2" w:rsidRDefault="000C1CE2" w:rsidP="00B32D63">
      <w:pPr>
        <w:spacing w:after="0" w:line="240" w:lineRule="auto"/>
      </w:pPr>
      <w:r>
        <w:separator/>
      </w:r>
    </w:p>
  </w:endnote>
  <w:endnote w:type="continuationSeparator" w:id="0">
    <w:p w:rsidR="000C1CE2" w:rsidRDefault="000C1CE2" w:rsidP="00B32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CE2" w:rsidRDefault="000C1CE2" w:rsidP="00B32D63">
      <w:pPr>
        <w:spacing w:after="0" w:line="240" w:lineRule="auto"/>
      </w:pPr>
      <w:r>
        <w:separator/>
      </w:r>
    </w:p>
  </w:footnote>
  <w:footnote w:type="continuationSeparator" w:id="0">
    <w:p w:rsidR="000C1CE2" w:rsidRDefault="000C1CE2" w:rsidP="00B32D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66AFF"/>
    <w:rsid w:val="00001C3A"/>
    <w:rsid w:val="000051A1"/>
    <w:rsid w:val="000270E7"/>
    <w:rsid w:val="00036CDD"/>
    <w:rsid w:val="00066AFF"/>
    <w:rsid w:val="00076DAA"/>
    <w:rsid w:val="000846E5"/>
    <w:rsid w:val="00087463"/>
    <w:rsid w:val="000B5752"/>
    <w:rsid w:val="000C1CE2"/>
    <w:rsid w:val="000C5F80"/>
    <w:rsid w:val="000C766C"/>
    <w:rsid w:val="000C7C75"/>
    <w:rsid w:val="000F72D6"/>
    <w:rsid w:val="00135BE4"/>
    <w:rsid w:val="00137B22"/>
    <w:rsid w:val="001763F4"/>
    <w:rsid w:val="001813D9"/>
    <w:rsid w:val="001A0382"/>
    <w:rsid w:val="001A7695"/>
    <w:rsid w:val="001B1522"/>
    <w:rsid w:val="001C1ABC"/>
    <w:rsid w:val="001C7F11"/>
    <w:rsid w:val="001D33A5"/>
    <w:rsid w:val="001D66FB"/>
    <w:rsid w:val="001E3C53"/>
    <w:rsid w:val="001E42C5"/>
    <w:rsid w:val="001F28C0"/>
    <w:rsid w:val="001F5C66"/>
    <w:rsid w:val="00200F40"/>
    <w:rsid w:val="002010DF"/>
    <w:rsid w:val="00203A91"/>
    <w:rsid w:val="00213546"/>
    <w:rsid w:val="00214AF6"/>
    <w:rsid w:val="0024507B"/>
    <w:rsid w:val="002B0DEC"/>
    <w:rsid w:val="002B40E0"/>
    <w:rsid w:val="002C702B"/>
    <w:rsid w:val="0031600A"/>
    <w:rsid w:val="00361F50"/>
    <w:rsid w:val="0036319D"/>
    <w:rsid w:val="003650AF"/>
    <w:rsid w:val="00380414"/>
    <w:rsid w:val="00385122"/>
    <w:rsid w:val="00387B3F"/>
    <w:rsid w:val="003A3120"/>
    <w:rsid w:val="003B2CDD"/>
    <w:rsid w:val="003C31E7"/>
    <w:rsid w:val="003D6F62"/>
    <w:rsid w:val="003E3C05"/>
    <w:rsid w:val="003F55F5"/>
    <w:rsid w:val="00441F3F"/>
    <w:rsid w:val="004652AC"/>
    <w:rsid w:val="004658AD"/>
    <w:rsid w:val="004752A4"/>
    <w:rsid w:val="00491E0F"/>
    <w:rsid w:val="004A38F2"/>
    <w:rsid w:val="004E032F"/>
    <w:rsid w:val="005310B4"/>
    <w:rsid w:val="00543212"/>
    <w:rsid w:val="00547EC4"/>
    <w:rsid w:val="005617DF"/>
    <w:rsid w:val="00562D29"/>
    <w:rsid w:val="00580DC7"/>
    <w:rsid w:val="005818C7"/>
    <w:rsid w:val="00583518"/>
    <w:rsid w:val="005A26BC"/>
    <w:rsid w:val="005F7E94"/>
    <w:rsid w:val="00611956"/>
    <w:rsid w:val="00670C6B"/>
    <w:rsid w:val="00670C9B"/>
    <w:rsid w:val="0067516E"/>
    <w:rsid w:val="00695AE2"/>
    <w:rsid w:val="006B3ED6"/>
    <w:rsid w:val="006B43D7"/>
    <w:rsid w:val="006C2A31"/>
    <w:rsid w:val="006E7450"/>
    <w:rsid w:val="006F582C"/>
    <w:rsid w:val="007152AA"/>
    <w:rsid w:val="00722F78"/>
    <w:rsid w:val="00731908"/>
    <w:rsid w:val="00743920"/>
    <w:rsid w:val="00756034"/>
    <w:rsid w:val="00771A7B"/>
    <w:rsid w:val="00772803"/>
    <w:rsid w:val="00783BFC"/>
    <w:rsid w:val="007905F2"/>
    <w:rsid w:val="007A2891"/>
    <w:rsid w:val="007A37C0"/>
    <w:rsid w:val="007B5902"/>
    <w:rsid w:val="007C379A"/>
    <w:rsid w:val="007E5524"/>
    <w:rsid w:val="007E761B"/>
    <w:rsid w:val="008908D9"/>
    <w:rsid w:val="008D2F13"/>
    <w:rsid w:val="008D5F60"/>
    <w:rsid w:val="008E76D3"/>
    <w:rsid w:val="00911CC2"/>
    <w:rsid w:val="009142EB"/>
    <w:rsid w:val="00922F74"/>
    <w:rsid w:val="00956523"/>
    <w:rsid w:val="009726BC"/>
    <w:rsid w:val="00991814"/>
    <w:rsid w:val="009B47FB"/>
    <w:rsid w:val="009B5BCD"/>
    <w:rsid w:val="009F26C0"/>
    <w:rsid w:val="00A07CFA"/>
    <w:rsid w:val="00A51360"/>
    <w:rsid w:val="00A61A64"/>
    <w:rsid w:val="00A63C29"/>
    <w:rsid w:val="00A752FC"/>
    <w:rsid w:val="00AA2670"/>
    <w:rsid w:val="00AD1AC4"/>
    <w:rsid w:val="00AD1F11"/>
    <w:rsid w:val="00B0168B"/>
    <w:rsid w:val="00B02FA1"/>
    <w:rsid w:val="00B12A19"/>
    <w:rsid w:val="00B22D60"/>
    <w:rsid w:val="00B23DEF"/>
    <w:rsid w:val="00B305F8"/>
    <w:rsid w:val="00B32D63"/>
    <w:rsid w:val="00BB21E4"/>
    <w:rsid w:val="00BD4A58"/>
    <w:rsid w:val="00BF545B"/>
    <w:rsid w:val="00C05D1B"/>
    <w:rsid w:val="00C150B4"/>
    <w:rsid w:val="00C22C9F"/>
    <w:rsid w:val="00C338DA"/>
    <w:rsid w:val="00C47AFB"/>
    <w:rsid w:val="00C537C3"/>
    <w:rsid w:val="00C53D70"/>
    <w:rsid w:val="00C97983"/>
    <w:rsid w:val="00CA3E9A"/>
    <w:rsid w:val="00CB3826"/>
    <w:rsid w:val="00CD46FD"/>
    <w:rsid w:val="00D23774"/>
    <w:rsid w:val="00D47E64"/>
    <w:rsid w:val="00D87760"/>
    <w:rsid w:val="00DA0277"/>
    <w:rsid w:val="00DE7A8F"/>
    <w:rsid w:val="00E37DE6"/>
    <w:rsid w:val="00E66752"/>
    <w:rsid w:val="00EB5E7D"/>
    <w:rsid w:val="00ED69C5"/>
    <w:rsid w:val="00ED714C"/>
    <w:rsid w:val="00EF7055"/>
    <w:rsid w:val="00F077CC"/>
    <w:rsid w:val="00F110CA"/>
    <w:rsid w:val="00F128E4"/>
    <w:rsid w:val="00F15CB8"/>
    <w:rsid w:val="00F17749"/>
    <w:rsid w:val="00F226A0"/>
    <w:rsid w:val="00F23448"/>
    <w:rsid w:val="00F365BD"/>
    <w:rsid w:val="00F52D63"/>
    <w:rsid w:val="00F63B01"/>
    <w:rsid w:val="00F76D2F"/>
    <w:rsid w:val="00F77E03"/>
    <w:rsid w:val="00F87EE7"/>
    <w:rsid w:val="00FA3775"/>
    <w:rsid w:val="00FB6762"/>
    <w:rsid w:val="00FC535C"/>
    <w:rsid w:val="00FE3031"/>
    <w:rsid w:val="00FF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E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66AFF"/>
    <w:pPr>
      <w:spacing w:after="0" w:line="240" w:lineRule="atLeast"/>
      <w:jc w:val="center"/>
    </w:pPr>
    <w:rPr>
      <w:rFonts w:cs="Times New Roman"/>
      <w:b/>
      <w:bCs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locked/>
    <w:rsid w:val="00066AF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066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66A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B32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32D63"/>
  </w:style>
  <w:style w:type="paragraph" w:styleId="a7">
    <w:name w:val="footer"/>
    <w:basedOn w:val="a"/>
    <w:link w:val="a8"/>
    <w:uiPriority w:val="99"/>
    <w:semiHidden/>
    <w:rsid w:val="00B32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32D63"/>
  </w:style>
  <w:style w:type="paragraph" w:styleId="a9">
    <w:name w:val="List Paragraph"/>
    <w:basedOn w:val="a"/>
    <w:uiPriority w:val="99"/>
    <w:qFormat/>
    <w:rsid w:val="0074392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98" baseline="0"/>
              <a:t>Рейтинг ГРБС по направлению "Планирование бюджета"</a:t>
            </a:r>
          </a:p>
        </c:rich>
      </c:tx>
      <c:layout>
        <c:manualLayout>
          <c:xMode val="edge"/>
          <c:yMode val="edge"/>
          <c:x val="0.17253868573176881"/>
          <c:y val="0"/>
        </c:manualLayout>
      </c:layout>
    </c:title>
    <c:view3D>
      <c:rotX val="0"/>
      <c:rotY val="0"/>
      <c:depthPercent val="100"/>
      <c:perspective val="20"/>
    </c:view3D>
    <c:plotArea>
      <c:layout>
        <c:manualLayout>
          <c:layoutTarget val="inner"/>
          <c:xMode val="edge"/>
          <c:yMode val="edge"/>
          <c:x val="2.3516849444547711E-2"/>
          <c:y val="0.11851508120649679"/>
          <c:w val="0.95296632816675153"/>
          <c:h val="0.32144813684832318"/>
        </c:manualLayout>
      </c:layout>
      <c:bar3DChart>
        <c:barDir val="col"/>
        <c:grouping val="clustered"/>
        <c:ser>
          <c:idx val="2"/>
          <c:order val="0"/>
          <c:tx>
            <c:strRef>
              <c:f>Лист1!$B$2</c:f>
              <c:strCache>
                <c:ptCount val="1"/>
                <c:pt idx="0">
                  <c:v>Комитет по культуре и спорту администрации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Лист1!$B$3</c:f>
              <c:numCache>
                <c:formatCode>General</c:formatCode>
                <c:ptCount val="1"/>
                <c:pt idx="0">
                  <c:v>15.5</c:v>
                </c:pt>
              </c:numCache>
            </c:numRef>
          </c:val>
        </c:ser>
        <c:ser>
          <c:idx val="3"/>
          <c:order val="1"/>
          <c:tx>
            <c:strRef>
              <c:f>Лист1!$C$2</c:f>
              <c:strCache>
                <c:ptCount val="1"/>
                <c:pt idx="0">
                  <c:v>УТСЗН администрации г.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Лист1!$C$3</c:f>
              <c:numCache>
                <c:formatCode>General</c:formatCode>
                <c:ptCount val="1"/>
                <c:pt idx="0">
                  <c:v>15.37</c:v>
                </c:pt>
              </c:numCache>
            </c:numRef>
          </c:val>
        </c:ser>
        <c:ser>
          <c:idx val="4"/>
          <c:order val="2"/>
          <c:tx>
            <c:strRef>
              <c:f>Лист1!$D$2</c:f>
              <c:strCache>
                <c:ptCount val="1"/>
                <c:pt idx="0">
                  <c:v>Финансовое управление администрации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Лист1!$D$3</c:f>
              <c:numCache>
                <c:formatCode>General</c:formatCode>
                <c:ptCount val="1"/>
                <c:pt idx="0">
                  <c:v>15.03</c:v>
                </c:pt>
              </c:numCache>
            </c:numRef>
          </c:val>
        </c:ser>
        <c:ser>
          <c:idx val="5"/>
          <c:order val="3"/>
          <c:tx>
            <c:strRef>
              <c:f>Лист1!$E$2</c:f>
              <c:strCache>
                <c:ptCount val="1"/>
                <c:pt idx="0">
                  <c:v>Управление образования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Лист1!$E$3</c:f>
              <c:numCache>
                <c:formatCode>General</c:formatCode>
                <c:ptCount val="1"/>
                <c:pt idx="0">
                  <c:v>13.43</c:v>
                </c:pt>
              </c:numCache>
            </c:numRef>
          </c:val>
        </c:ser>
        <c:ser>
          <c:idx val="6"/>
          <c:order val="4"/>
          <c:tx>
            <c:strRef>
              <c:f>Лист1!$F$2</c:f>
              <c:strCache>
                <c:ptCount val="1"/>
                <c:pt idx="0">
                  <c:v>КУМИ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Лист1!$F$3</c:f>
              <c:numCache>
                <c:formatCode>General</c:formatCode>
                <c:ptCount val="1"/>
                <c:pt idx="0">
                  <c:v>13.33</c:v>
                </c:pt>
              </c:numCache>
            </c:numRef>
          </c:val>
        </c:ser>
        <c:ser>
          <c:idx val="7"/>
          <c:order val="5"/>
          <c:tx>
            <c:strRef>
              <c:f>Лист1!$G$2</c:f>
              <c:strCache>
                <c:ptCount val="1"/>
                <c:pt idx="0">
                  <c:v>Дума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Лист1!$G$3</c:f>
              <c:numCache>
                <c:formatCode>General</c:formatCode>
                <c:ptCount val="1"/>
                <c:pt idx="0">
                  <c:v>12.1</c:v>
                </c:pt>
              </c:numCache>
            </c:numRef>
          </c:val>
        </c:ser>
        <c:ser>
          <c:idx val="8"/>
          <c:order val="6"/>
          <c:tx>
            <c:strRef>
              <c:f>Лист1!$H$2</c:f>
              <c:strCache>
                <c:ptCount val="1"/>
                <c:pt idx="0">
                  <c:v>Администрация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Лист1!$H$3</c:f>
              <c:numCache>
                <c:formatCode>General</c:formatCode>
                <c:ptCount val="1"/>
                <c:pt idx="0">
                  <c:v>11.33</c:v>
                </c:pt>
              </c:numCache>
            </c:numRef>
          </c:val>
        </c:ser>
        <c:ser>
          <c:idx val="0"/>
          <c:order val="7"/>
          <c:tx>
            <c:strRef>
              <c:f>Лист1!$I$2</c:f>
              <c:strCache>
                <c:ptCount val="1"/>
                <c:pt idx="0">
                  <c:v>УЖКХ администрации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Лист1!$I$3</c:f>
              <c:numCache>
                <c:formatCode>General</c:formatCode>
                <c:ptCount val="1"/>
                <c:pt idx="0">
                  <c:v>9.9</c:v>
                </c:pt>
              </c:numCache>
            </c:numRef>
          </c:val>
        </c:ser>
        <c:dLbls>
          <c:showVal val="1"/>
        </c:dLbls>
        <c:shape val="cylinder"/>
        <c:axId val="78207616"/>
        <c:axId val="78217600"/>
        <c:axId val="0"/>
      </c:bar3DChart>
      <c:catAx>
        <c:axId val="78207616"/>
        <c:scaling>
          <c:orientation val="minMax"/>
        </c:scaling>
        <c:delete val="1"/>
        <c:axPos val="b"/>
        <c:tickLblPos val="none"/>
        <c:crossAx val="78217600"/>
        <c:crosses val="autoZero"/>
        <c:auto val="1"/>
        <c:lblAlgn val="ctr"/>
        <c:lblOffset val="100"/>
      </c:catAx>
      <c:valAx>
        <c:axId val="78217600"/>
        <c:scaling>
          <c:orientation val="minMax"/>
        </c:scaling>
        <c:delete val="1"/>
        <c:axPos val="l"/>
        <c:numFmt formatCode="General" sourceLinked="1"/>
        <c:tickLblPos val="none"/>
        <c:crossAx val="78207616"/>
        <c:crosses val="autoZero"/>
        <c:crossBetween val="between"/>
      </c:valAx>
      <c:spPr>
        <a:noFill/>
        <a:ln w="25372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199" spc="-100" baseline="0"/>
            </a:pPr>
            <a:endParaRPr lang="ru-RU"/>
          </a:p>
        </c:txPr>
      </c:legendEntry>
      <c:layout>
        <c:manualLayout>
          <c:xMode val="edge"/>
          <c:yMode val="edge"/>
          <c:x val="0.14404643528320293"/>
          <c:y val="0.45431849151848358"/>
          <c:w val="0.74499797797178691"/>
          <c:h val="0.51631257090306149"/>
        </c:manualLayout>
      </c:layout>
      <c:spPr>
        <a:ln cap="sq"/>
      </c:spPr>
      <c:txPr>
        <a:bodyPr/>
        <a:lstStyle/>
        <a:p>
          <a:pPr>
            <a:defRPr sz="1199" spc="-100" baseline="0"/>
          </a:pPr>
          <a:endParaRPr lang="ru-RU"/>
        </a:p>
      </c:txPr>
    </c:legend>
    <c:plotVisOnly val="1"/>
    <c:dispBlanksAs val="gap"/>
  </c:chart>
  <c:spPr>
    <a:gradFill flip="none" rotWithShape="1">
      <a:gsLst>
        <a:gs pos="0">
          <a:schemeClr val="accent1">
            <a:lumMod val="20000"/>
            <a:lumOff val="80000"/>
          </a:schemeClr>
        </a:gs>
        <a:gs pos="39999">
          <a:srgbClr val="85C2FF"/>
        </a:gs>
        <a:gs pos="70000">
          <a:srgbClr val="C4D6EB"/>
        </a:gs>
        <a:gs pos="100000">
          <a:srgbClr val="FFEBFA"/>
        </a:gs>
      </a:gsLst>
      <a:lin ang="5400000" scaled="1"/>
      <a:tileRect/>
    </a:gradFill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99" baseline="0"/>
              <a:t>Рейтинг ГРБС по направлению "Исполнение бюджета"</a:t>
            </a:r>
          </a:p>
        </c:rich>
      </c:tx>
      <c:layout/>
    </c:title>
    <c:view3D>
      <c:rotX val="0"/>
      <c:rotY val="0"/>
      <c:depthPercent val="100"/>
      <c:perspective val="20"/>
    </c:view3D>
    <c:plotArea>
      <c:layout>
        <c:manualLayout>
          <c:layoutTarget val="inner"/>
          <c:xMode val="edge"/>
          <c:yMode val="edge"/>
          <c:x val="2.3516835916622132E-2"/>
          <c:y val="0.11851508120649652"/>
          <c:w val="0.95296632816675209"/>
          <c:h val="0.3214481368483231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УТСЗН администрации г.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Лист1!$B$3</c:f>
              <c:numCache>
                <c:formatCode>General</c:formatCode>
                <c:ptCount val="1"/>
                <c:pt idx="0">
                  <c:v>25.89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Управление образования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Лист1!$C$3</c:f>
              <c:numCache>
                <c:formatCode>General</c:formatCode>
                <c:ptCount val="1"/>
                <c:pt idx="0">
                  <c:v>20.61</c:v>
                </c:pt>
              </c:numCache>
            </c:numRef>
          </c:val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Комитет по культуре и спорту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Лист1!$D$3</c:f>
              <c:numCache>
                <c:formatCode>General</c:formatCode>
                <c:ptCount val="1"/>
                <c:pt idx="0">
                  <c:v>20.010000000000002</c:v>
                </c:pt>
              </c:numCache>
            </c:numRef>
          </c:val>
        </c:ser>
        <c:ser>
          <c:idx val="4"/>
          <c:order val="3"/>
          <c:tx>
            <c:strRef>
              <c:f>Лист1!$E$2</c:f>
              <c:strCache>
                <c:ptCount val="1"/>
                <c:pt idx="0">
                  <c:v>Дума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Лист1!$E$3</c:f>
              <c:numCache>
                <c:formatCode>General</c:formatCode>
                <c:ptCount val="1"/>
                <c:pt idx="0">
                  <c:v>19.8</c:v>
                </c:pt>
              </c:numCache>
            </c:numRef>
          </c:val>
        </c:ser>
        <c:ser>
          <c:idx val="5"/>
          <c:order val="4"/>
          <c:tx>
            <c:strRef>
              <c:f>Лист1!$F$2</c:f>
              <c:strCache>
                <c:ptCount val="1"/>
                <c:pt idx="0">
                  <c:v>КУМИ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Лист1!$F$3</c:f>
              <c:numCache>
                <c:formatCode>General</c:formatCode>
                <c:ptCount val="1"/>
                <c:pt idx="0">
                  <c:v>19.8</c:v>
                </c:pt>
              </c:numCache>
            </c:numRef>
          </c:val>
        </c:ser>
        <c:ser>
          <c:idx val="6"/>
          <c:order val="5"/>
          <c:tx>
            <c:strRef>
              <c:f>Лист1!$G$2</c:f>
              <c:strCache>
                <c:ptCount val="1"/>
                <c:pt idx="0">
                  <c:v>Финансовое управление администрации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Лист1!$G$3</c:f>
              <c:numCache>
                <c:formatCode>General</c:formatCode>
                <c:ptCount val="1"/>
                <c:pt idx="0">
                  <c:v>19.670000000000002</c:v>
                </c:pt>
              </c:numCache>
            </c:numRef>
          </c:val>
        </c:ser>
        <c:ser>
          <c:idx val="7"/>
          <c:order val="6"/>
          <c:tx>
            <c:strRef>
              <c:f>Лист1!$H$2</c:f>
              <c:strCache>
                <c:ptCount val="1"/>
                <c:pt idx="0">
                  <c:v>Администрация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Лист1!$H$3</c:f>
              <c:numCache>
                <c:formatCode>General</c:formatCode>
                <c:ptCount val="1"/>
                <c:pt idx="0">
                  <c:v>17.440000000000001</c:v>
                </c:pt>
              </c:numCache>
            </c:numRef>
          </c:val>
        </c:ser>
        <c:ser>
          <c:idx val="8"/>
          <c:order val="7"/>
          <c:tx>
            <c:strRef>
              <c:f>Лист1!$I$2</c:f>
              <c:strCache>
                <c:ptCount val="1"/>
                <c:pt idx="0">
                  <c:v>УЖКХ администрации города 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Лист1!$I$3</c:f>
              <c:numCache>
                <c:formatCode>General</c:formatCode>
                <c:ptCount val="1"/>
                <c:pt idx="0">
                  <c:v>14.53</c:v>
                </c:pt>
              </c:numCache>
            </c:numRef>
          </c:val>
        </c:ser>
        <c:dLbls>
          <c:showVal val="1"/>
        </c:dLbls>
        <c:shape val="cylinder"/>
        <c:axId val="78181888"/>
        <c:axId val="78183424"/>
        <c:axId val="0"/>
      </c:bar3DChart>
      <c:catAx>
        <c:axId val="78181888"/>
        <c:scaling>
          <c:orientation val="minMax"/>
        </c:scaling>
        <c:delete val="1"/>
        <c:axPos val="b"/>
        <c:tickLblPos val="none"/>
        <c:crossAx val="78183424"/>
        <c:crosses val="autoZero"/>
        <c:auto val="1"/>
        <c:lblAlgn val="ctr"/>
        <c:lblOffset val="100"/>
      </c:catAx>
      <c:valAx>
        <c:axId val="78183424"/>
        <c:scaling>
          <c:orientation val="minMax"/>
        </c:scaling>
        <c:delete val="1"/>
        <c:axPos val="l"/>
        <c:numFmt formatCode="General" sourceLinked="1"/>
        <c:tickLblPos val="none"/>
        <c:crossAx val="78181888"/>
        <c:crosses val="autoZero"/>
        <c:crossBetween val="between"/>
      </c:valAx>
      <c:spPr>
        <a:noFill/>
        <a:ln w="25384">
          <a:noFill/>
        </a:ln>
      </c:spPr>
    </c:plotArea>
    <c:legend>
      <c:legendPos val="b"/>
      <c:legendEntry>
        <c:idx val="2"/>
        <c:txPr>
          <a:bodyPr/>
          <a:lstStyle/>
          <a:p>
            <a:pPr>
              <a:defRPr sz="1199" spc="-100" baseline="0"/>
            </a:pPr>
            <a:endParaRPr lang="ru-RU"/>
          </a:p>
        </c:txPr>
      </c:legendEntry>
      <c:layout>
        <c:manualLayout>
          <c:xMode val="edge"/>
          <c:yMode val="edge"/>
          <c:x val="4.2735042735042739E-3"/>
          <c:y val="0.47136866592372056"/>
          <c:w val="0.89019330238443362"/>
          <c:h val="0.47417185678393525"/>
        </c:manualLayout>
      </c:layout>
      <c:spPr>
        <a:ln cap="sq"/>
      </c:spPr>
      <c:txPr>
        <a:bodyPr/>
        <a:lstStyle/>
        <a:p>
          <a:pPr>
            <a:defRPr sz="1199" spc="-100" baseline="0"/>
          </a:pPr>
          <a:endParaRPr lang="ru-RU"/>
        </a:p>
      </c:txPr>
    </c:legend>
    <c:plotVisOnly val="1"/>
    <c:dispBlanksAs val="gap"/>
  </c:chart>
  <c:spPr>
    <a:gradFill flip="none" rotWithShape="1">
      <a:gsLst>
        <a:gs pos="0">
          <a:schemeClr val="accent1">
            <a:lumMod val="20000"/>
            <a:lumOff val="80000"/>
          </a:schemeClr>
        </a:gs>
        <a:gs pos="39999">
          <a:srgbClr val="85C2FF"/>
        </a:gs>
        <a:gs pos="70000">
          <a:srgbClr val="C4D6EB"/>
        </a:gs>
        <a:gs pos="100000">
          <a:srgbClr val="FFEBFA"/>
        </a:gs>
      </a:gsLst>
      <a:lin ang="5400000" scaled="1"/>
      <a:tileRect/>
    </a:gradFill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502" baseline="0"/>
              <a:t>Рейтинг ГРБС по направлению "Учет и отчетность"</a:t>
            </a:r>
          </a:p>
        </c:rich>
      </c:tx>
      <c:layout/>
    </c:title>
    <c:view3D>
      <c:rotX val="0"/>
      <c:rotY val="0"/>
      <c:depthPercent val="100"/>
      <c:perspective val="20"/>
    </c:view3D>
    <c:plotArea>
      <c:layout>
        <c:manualLayout>
          <c:layoutTarget val="inner"/>
          <c:xMode val="edge"/>
          <c:yMode val="edge"/>
          <c:x val="0"/>
          <c:y val="0.13886598565256991"/>
          <c:w val="0.95296632816675209"/>
          <c:h val="0.3453142217812609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Комитет по культуре и спорту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Лист1!$B$3</c:f>
              <c:numCache>
                <c:formatCode>0.00</c:formatCode>
                <c:ptCount val="1"/>
                <c:pt idx="0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Управление образования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Лист1!$C$3</c:f>
              <c:numCache>
                <c:formatCode>0.00</c:formatCode>
                <c:ptCount val="1"/>
                <c:pt idx="0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Дума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Лист1!$D$3</c:f>
              <c:numCache>
                <c:formatCode>0.00</c:formatCode>
                <c:ptCount val="1"/>
                <c:pt idx="0">
                  <c:v>8.33</c:v>
                </c:pt>
              </c:numCache>
            </c:numRef>
          </c:val>
        </c:ser>
        <c:ser>
          <c:idx val="3"/>
          <c:order val="3"/>
          <c:tx>
            <c:strRef>
              <c:f>Лист1!$E$2</c:f>
              <c:strCache>
                <c:ptCount val="1"/>
                <c:pt idx="0">
                  <c:v>Администрация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Лист1!$E$3</c:f>
              <c:numCache>
                <c:formatCode>0.00</c:formatCode>
                <c:ptCount val="1"/>
                <c:pt idx="0">
                  <c:v>8.33</c:v>
                </c:pt>
              </c:numCache>
            </c:numRef>
          </c:val>
        </c:ser>
        <c:ser>
          <c:idx val="4"/>
          <c:order val="4"/>
          <c:tx>
            <c:strRef>
              <c:f>Лист1!$F$2</c:f>
              <c:strCache>
                <c:ptCount val="1"/>
                <c:pt idx="0">
                  <c:v>КУМИ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Лист1!$F$3</c:f>
              <c:numCache>
                <c:formatCode>0.00</c:formatCode>
                <c:ptCount val="1"/>
                <c:pt idx="0">
                  <c:v>8.33</c:v>
                </c:pt>
              </c:numCache>
            </c:numRef>
          </c:val>
        </c:ser>
        <c:ser>
          <c:idx val="6"/>
          <c:order val="5"/>
          <c:tx>
            <c:strRef>
              <c:f>Лист1!$G$2</c:f>
              <c:strCache>
                <c:ptCount val="1"/>
                <c:pt idx="0">
                  <c:v>Финансовое управление администрации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Лист1!$G$3</c:f>
              <c:numCache>
                <c:formatCode>0.00</c:formatCode>
                <c:ptCount val="1"/>
                <c:pt idx="0">
                  <c:v>8.33</c:v>
                </c:pt>
              </c:numCache>
            </c:numRef>
          </c:val>
        </c:ser>
        <c:ser>
          <c:idx val="8"/>
          <c:order val="6"/>
          <c:tx>
            <c:strRef>
              <c:f>Лист1!$H$2</c:f>
              <c:strCache>
                <c:ptCount val="1"/>
                <c:pt idx="0">
                  <c:v>УТСЗН администрации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Лист1!$H$3</c:f>
              <c:numCache>
                <c:formatCode>0.00</c:formatCode>
                <c:ptCount val="1"/>
                <c:pt idx="0">
                  <c:v>8.33</c:v>
                </c:pt>
              </c:numCache>
            </c:numRef>
          </c:val>
        </c:ser>
        <c:ser>
          <c:idx val="9"/>
          <c:order val="7"/>
          <c:tx>
            <c:strRef>
              <c:f>Лист1!$I$2</c:f>
              <c:strCache>
                <c:ptCount val="1"/>
                <c:pt idx="0">
                  <c:v>УЖКХ администрации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Лист1!$I$3</c:f>
              <c:numCache>
                <c:formatCode>0.00</c:formatCode>
                <c:ptCount val="1"/>
                <c:pt idx="0">
                  <c:v>8.33</c:v>
                </c:pt>
              </c:numCache>
            </c:numRef>
          </c:val>
        </c:ser>
        <c:dLbls>
          <c:showVal val="1"/>
        </c:dLbls>
        <c:shape val="cylinder"/>
        <c:axId val="78512512"/>
        <c:axId val="78514048"/>
        <c:axId val="0"/>
      </c:bar3DChart>
      <c:catAx>
        <c:axId val="78512512"/>
        <c:scaling>
          <c:orientation val="minMax"/>
        </c:scaling>
        <c:delete val="1"/>
        <c:axPos val="b"/>
        <c:tickLblPos val="none"/>
        <c:crossAx val="78514048"/>
        <c:crosses val="autoZero"/>
        <c:auto val="1"/>
        <c:lblAlgn val="ctr"/>
        <c:lblOffset val="100"/>
      </c:catAx>
      <c:valAx>
        <c:axId val="78514048"/>
        <c:scaling>
          <c:orientation val="minMax"/>
        </c:scaling>
        <c:delete val="1"/>
        <c:axPos val="l"/>
        <c:numFmt formatCode="0.00" sourceLinked="1"/>
        <c:tickLblPos val="none"/>
        <c:crossAx val="78512512"/>
        <c:crosses val="autoZero"/>
        <c:crossBetween val="between"/>
      </c:valAx>
      <c:spPr>
        <a:noFill/>
        <a:ln w="25433">
          <a:noFill/>
        </a:ln>
      </c:spPr>
    </c:plotArea>
    <c:legend>
      <c:legendPos val="b"/>
      <c:legendEntry>
        <c:idx val="2"/>
        <c:txPr>
          <a:bodyPr/>
          <a:lstStyle/>
          <a:p>
            <a:pPr>
              <a:defRPr sz="1202" spc="-100" baseline="0"/>
            </a:pPr>
            <a:endParaRPr lang="ru-RU"/>
          </a:p>
        </c:txPr>
      </c:legendEntry>
      <c:layout>
        <c:manualLayout>
          <c:xMode val="edge"/>
          <c:yMode val="edge"/>
          <c:x val="6.1728395061728392E-3"/>
          <c:y val="0.50512926670406988"/>
          <c:w val="0.89019330130903451"/>
          <c:h val="0.49487075479201598"/>
        </c:manualLayout>
      </c:layout>
      <c:spPr>
        <a:ln cap="sq"/>
      </c:spPr>
      <c:txPr>
        <a:bodyPr/>
        <a:lstStyle/>
        <a:p>
          <a:pPr>
            <a:defRPr sz="1202" spc="-100" baseline="0"/>
          </a:pPr>
          <a:endParaRPr lang="ru-RU"/>
        </a:p>
      </c:txPr>
    </c:legend>
    <c:plotVisOnly val="1"/>
    <c:dispBlanksAs val="gap"/>
  </c:chart>
  <c:spPr>
    <a:gradFill flip="none" rotWithShape="1">
      <a:gsLst>
        <a:gs pos="0">
          <a:schemeClr val="accent1">
            <a:lumMod val="20000"/>
            <a:lumOff val="80000"/>
          </a:schemeClr>
        </a:gs>
        <a:gs pos="39999">
          <a:srgbClr val="85C2FF"/>
        </a:gs>
        <a:gs pos="70000">
          <a:srgbClr val="C4D6EB"/>
        </a:gs>
        <a:gs pos="100000">
          <a:srgbClr val="FFEBFA"/>
        </a:gs>
      </a:gsLst>
      <a:lin ang="5400000" scaled="1"/>
      <a:tileRect/>
    </a:gradFill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99" baseline="0"/>
              <a:t>Рейтинг ГРБС по направлению "Осуществление функций и полномочий учредителя муниципальных учреждений"</a:t>
            </a:r>
          </a:p>
        </c:rich>
      </c:tx>
      <c:layout/>
    </c:title>
    <c:view3D>
      <c:rotX val="0"/>
      <c:rotY val="0"/>
      <c:depthPercent val="100"/>
      <c:perspective val="20"/>
    </c:view3D>
    <c:plotArea>
      <c:layout>
        <c:manualLayout>
          <c:layoutTarget val="inner"/>
          <c:xMode val="edge"/>
          <c:yMode val="edge"/>
          <c:x val="2.3516835916622132E-2"/>
          <c:y val="0.2266317626527051"/>
          <c:w val="0.9529663281667512"/>
          <c:h val="0.30801728731277367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Комитет по культуре и спорту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Лист1!$B$3</c:f>
              <c:numCache>
                <c:formatCode>0.00</c:formatCode>
                <c:ptCount val="1"/>
                <c:pt idx="0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Управление образования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Лист1!$C$3</c:f>
              <c:numCache>
                <c:formatCode>0.00</c:formatCode>
                <c:ptCount val="1"/>
                <c:pt idx="0">
                  <c:v>32.729999999999997</c:v>
                </c:pt>
              </c:numCache>
            </c:numRef>
          </c:val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Администрация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Лист1!$D$3</c:f>
              <c:numCache>
                <c:formatCode>0.00</c:formatCode>
                <c:ptCount val="1"/>
                <c:pt idx="0">
                  <c:v>20</c:v>
                </c:pt>
              </c:numCache>
            </c:numRef>
          </c:val>
        </c:ser>
        <c:ser>
          <c:idx val="3"/>
          <c:order val="3"/>
          <c:tx>
            <c:strRef>
              <c:f>Лист1!$E$2</c:f>
              <c:strCache>
                <c:ptCount val="1"/>
                <c:pt idx="0">
                  <c:v>Дума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Лист1!$E$3</c:f>
              <c:numCache>
                <c:formatCode>0.00</c:formatCode>
                <c:ptCount val="1"/>
                <c:pt idx="0">
                  <c:v>20</c:v>
                </c:pt>
              </c:numCache>
            </c:numRef>
          </c:val>
        </c:ser>
        <c:ser>
          <c:idx val="4"/>
          <c:order val="4"/>
          <c:tx>
            <c:strRef>
              <c:f>Лист1!$F$2</c:f>
              <c:strCache>
                <c:ptCount val="1"/>
                <c:pt idx="0">
                  <c:v>КУМИ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Лист1!$F$3</c:f>
              <c:numCache>
                <c:formatCode>0.00</c:formatCode>
                <c:ptCount val="1"/>
                <c:pt idx="0">
                  <c:v>20</c:v>
                </c:pt>
              </c:numCache>
            </c:numRef>
          </c:val>
        </c:ser>
        <c:ser>
          <c:idx val="5"/>
          <c:order val="5"/>
          <c:tx>
            <c:strRef>
              <c:f>Лист1!$G$2</c:f>
              <c:strCache>
                <c:ptCount val="1"/>
                <c:pt idx="0">
                  <c:v>Финансовое управление администрации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Лист1!$G$3</c:f>
              <c:numCache>
                <c:formatCode>0.00</c:formatCode>
                <c:ptCount val="1"/>
                <c:pt idx="0">
                  <c:v>20</c:v>
                </c:pt>
              </c:numCache>
            </c:numRef>
          </c:val>
        </c:ser>
        <c:ser>
          <c:idx val="7"/>
          <c:order val="6"/>
          <c:tx>
            <c:strRef>
              <c:f>Лист1!$H$2</c:f>
              <c:strCache>
                <c:ptCount val="1"/>
                <c:pt idx="0">
                  <c:v>УТСЗН администрации г.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Лист1!$H$3</c:f>
              <c:numCache>
                <c:formatCode>0.00</c:formatCode>
                <c:ptCount val="1"/>
                <c:pt idx="0">
                  <c:v>20</c:v>
                </c:pt>
              </c:numCache>
            </c:numRef>
          </c:val>
        </c:ser>
        <c:ser>
          <c:idx val="9"/>
          <c:order val="7"/>
          <c:tx>
            <c:strRef>
              <c:f>Лист1!$I$2</c:f>
              <c:strCache>
                <c:ptCount val="1"/>
                <c:pt idx="0">
                  <c:v>УЖКХ администрации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Лист1!$I$3</c:f>
              <c:numCache>
                <c:formatCode>0.00</c:formatCode>
                <c:ptCount val="1"/>
                <c:pt idx="0">
                  <c:v>20</c:v>
                </c:pt>
              </c:numCache>
            </c:numRef>
          </c:val>
        </c:ser>
        <c:dLbls>
          <c:showVal val="1"/>
        </c:dLbls>
        <c:shape val="cylinder"/>
        <c:axId val="78773248"/>
        <c:axId val="78586624"/>
        <c:axId val="0"/>
      </c:bar3DChart>
      <c:catAx>
        <c:axId val="78773248"/>
        <c:scaling>
          <c:orientation val="minMax"/>
        </c:scaling>
        <c:delete val="1"/>
        <c:axPos val="b"/>
        <c:tickLblPos val="none"/>
        <c:crossAx val="78586624"/>
        <c:crosses val="autoZero"/>
        <c:auto val="1"/>
        <c:lblAlgn val="ctr"/>
        <c:lblOffset val="100"/>
      </c:catAx>
      <c:valAx>
        <c:axId val="78586624"/>
        <c:scaling>
          <c:orientation val="minMax"/>
        </c:scaling>
        <c:delete val="1"/>
        <c:axPos val="l"/>
        <c:numFmt formatCode="0.00" sourceLinked="1"/>
        <c:tickLblPos val="none"/>
        <c:crossAx val="78773248"/>
        <c:crosses val="autoZero"/>
        <c:crossBetween val="between"/>
      </c:valAx>
      <c:spPr>
        <a:noFill/>
        <a:ln w="25384">
          <a:noFill/>
        </a:ln>
      </c:spPr>
    </c:plotArea>
    <c:legend>
      <c:legendPos val="b"/>
      <c:legendEntry>
        <c:idx val="2"/>
        <c:txPr>
          <a:bodyPr/>
          <a:lstStyle/>
          <a:p>
            <a:pPr>
              <a:defRPr sz="1200" b="0" spc="-100" baseline="0"/>
            </a:pPr>
            <a:endParaRPr lang="ru-RU"/>
          </a:p>
        </c:txPr>
      </c:legendEntry>
      <c:layout>
        <c:manualLayout>
          <c:xMode val="edge"/>
          <c:yMode val="edge"/>
          <c:x val="1.2827378662357837E-2"/>
          <c:y val="0.53212234074853759"/>
          <c:w val="0.89019330238443362"/>
          <c:h val="0.4518621676146547"/>
        </c:manualLayout>
      </c:layout>
      <c:spPr>
        <a:ln cap="sq"/>
      </c:spPr>
      <c:txPr>
        <a:bodyPr/>
        <a:lstStyle/>
        <a:p>
          <a:pPr>
            <a:defRPr sz="1200" b="0" spc="-100" baseline="0"/>
          </a:pPr>
          <a:endParaRPr lang="ru-RU"/>
        </a:p>
      </c:txPr>
    </c:legend>
    <c:plotVisOnly val="1"/>
    <c:dispBlanksAs val="gap"/>
  </c:chart>
  <c:spPr>
    <a:gradFill flip="none" rotWithShape="1">
      <a:gsLst>
        <a:gs pos="0">
          <a:schemeClr val="accent1">
            <a:lumMod val="20000"/>
            <a:lumOff val="80000"/>
          </a:schemeClr>
        </a:gs>
        <a:gs pos="39999">
          <a:srgbClr val="85C2FF"/>
        </a:gs>
        <a:gs pos="70000">
          <a:srgbClr val="C4D6EB"/>
        </a:gs>
        <a:gs pos="100000">
          <a:srgbClr val="FFEBFA"/>
        </a:gs>
      </a:gsLst>
      <a:lin ang="5400000" scaled="1"/>
      <a:tileRect/>
    </a:gradFill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501" baseline="0"/>
              <a:t>Итоговая оценка качества финансового менеджмента, осуществляемого ГРБС</a:t>
            </a:r>
          </a:p>
        </c:rich>
      </c:tx>
      <c:layout/>
    </c:title>
    <c:view3D>
      <c:rotX val="0"/>
      <c:rotY val="0"/>
      <c:depthPercent val="100"/>
      <c:perspective val="20"/>
    </c:view3D>
    <c:plotArea>
      <c:layout>
        <c:manualLayout>
          <c:layoutTarget val="inner"/>
          <c:xMode val="edge"/>
          <c:yMode val="edge"/>
          <c:x val="1.9241047568145389E-2"/>
          <c:y val="0.16305286839145106"/>
          <c:w val="0.95296632816675075"/>
          <c:h val="0.2994983127109113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Комитет по культуре и спорту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Лист1!$B$3</c:f>
              <c:numCache>
                <c:formatCode>0.00</c:formatCode>
                <c:ptCount val="1"/>
                <c:pt idx="0">
                  <c:v>85.51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Управление образования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Лист1!$C$3</c:f>
              <c:numCache>
                <c:formatCode>0.00</c:formatCode>
                <c:ptCount val="1"/>
                <c:pt idx="0">
                  <c:v>76.78</c:v>
                </c:pt>
              </c:numCache>
            </c:numRef>
          </c:val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УТСЗН  администрации г.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Лист1!$D$3</c:f>
              <c:numCache>
                <c:formatCode>0.00</c:formatCode>
                <c:ptCount val="1"/>
                <c:pt idx="0">
                  <c:v>69.59</c:v>
                </c:pt>
              </c:numCache>
            </c:numRef>
          </c:val>
        </c:ser>
        <c:ser>
          <c:idx val="3"/>
          <c:order val="3"/>
          <c:tx>
            <c:strRef>
              <c:f>Лист1!$E$2</c:f>
              <c:strCache>
                <c:ptCount val="1"/>
                <c:pt idx="0">
                  <c:v>Финансовое управление администрации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Лист1!$E$3</c:f>
              <c:numCache>
                <c:formatCode>0.00</c:formatCode>
                <c:ptCount val="1"/>
                <c:pt idx="0">
                  <c:v>63.04</c:v>
                </c:pt>
              </c:numCache>
            </c:numRef>
          </c:val>
        </c:ser>
        <c:ser>
          <c:idx val="5"/>
          <c:order val="4"/>
          <c:tx>
            <c:strRef>
              <c:f>Лист1!$F$2</c:f>
              <c:strCache>
                <c:ptCount val="1"/>
                <c:pt idx="0">
                  <c:v>КУМИ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Лист1!$F$3</c:f>
              <c:numCache>
                <c:formatCode>0.00</c:formatCode>
                <c:ptCount val="1"/>
                <c:pt idx="0">
                  <c:v>61.47</c:v>
                </c:pt>
              </c:numCache>
            </c:numRef>
          </c:val>
        </c:ser>
        <c:ser>
          <c:idx val="6"/>
          <c:order val="5"/>
          <c:tx>
            <c:strRef>
              <c:f>Лист1!$G$2</c:f>
              <c:strCache>
                <c:ptCount val="1"/>
                <c:pt idx="0">
                  <c:v>Дума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Лист1!$G$3</c:f>
              <c:numCache>
                <c:formatCode>0.00</c:formatCode>
                <c:ptCount val="1"/>
                <c:pt idx="0">
                  <c:v>60.23</c:v>
                </c:pt>
              </c:numCache>
            </c:numRef>
          </c:val>
        </c:ser>
        <c:ser>
          <c:idx val="7"/>
          <c:order val="6"/>
          <c:tx>
            <c:strRef>
              <c:f>Лист1!$H$2</c:f>
              <c:strCache>
                <c:ptCount val="1"/>
                <c:pt idx="0">
                  <c:v>Администрация города Георгиевска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Лист1!$H$3</c:f>
              <c:numCache>
                <c:formatCode>0.00</c:formatCode>
                <c:ptCount val="1"/>
                <c:pt idx="0">
                  <c:v>57.11</c:v>
                </c:pt>
              </c:numCache>
            </c:numRef>
          </c:val>
        </c:ser>
        <c:ser>
          <c:idx val="9"/>
          <c:order val="7"/>
          <c:tx>
            <c:strRef>
              <c:f>Лист1!$I$2</c:f>
              <c:strCache>
                <c:ptCount val="1"/>
                <c:pt idx="0">
                  <c:v>УЖКХ администрации города</c:v>
                </c:pt>
              </c:strCache>
            </c:strRef>
          </c:tx>
          <c:cat>
            <c:strRef>
              <c:f>Лист1!$A$3</c:f>
              <c:strCache>
                <c:ptCount val="1"/>
                <c:pt idx="0">
                  <c:v>Оценка направления мониторинга</c:v>
                </c:pt>
              </c:strCache>
            </c:strRef>
          </c:cat>
          <c:val>
            <c:numRef>
              <c:f>Лист1!$I$3</c:f>
              <c:numCache>
                <c:formatCode>0.00</c:formatCode>
                <c:ptCount val="1"/>
                <c:pt idx="0">
                  <c:v>52.76</c:v>
                </c:pt>
              </c:numCache>
            </c:numRef>
          </c:val>
        </c:ser>
        <c:dLbls>
          <c:showVal val="1"/>
        </c:dLbls>
        <c:shape val="cylinder"/>
        <c:axId val="69143168"/>
        <c:axId val="69165440"/>
        <c:axId val="0"/>
      </c:bar3DChart>
      <c:catAx>
        <c:axId val="69143168"/>
        <c:scaling>
          <c:orientation val="minMax"/>
        </c:scaling>
        <c:delete val="1"/>
        <c:axPos val="b"/>
        <c:tickLblPos val="none"/>
        <c:crossAx val="69165440"/>
        <c:crosses val="autoZero"/>
        <c:auto val="1"/>
        <c:lblAlgn val="ctr"/>
        <c:lblOffset val="100"/>
      </c:catAx>
      <c:valAx>
        <c:axId val="69165440"/>
        <c:scaling>
          <c:orientation val="minMax"/>
        </c:scaling>
        <c:delete val="1"/>
        <c:axPos val="l"/>
        <c:numFmt formatCode="0.00" sourceLinked="1"/>
        <c:tickLblPos val="none"/>
        <c:crossAx val="69143168"/>
        <c:crosses val="autoZero"/>
        <c:crossBetween val="between"/>
      </c:valAx>
      <c:spPr>
        <a:noFill/>
        <a:ln w="25411">
          <a:noFill/>
        </a:ln>
      </c:spPr>
    </c:plotArea>
    <c:legend>
      <c:legendPos val="b"/>
      <c:legendEntry>
        <c:idx val="2"/>
        <c:txPr>
          <a:bodyPr/>
          <a:lstStyle/>
          <a:p>
            <a:pPr>
              <a:defRPr sz="1201" kern="1200" spc="-100" baseline="0"/>
            </a:pPr>
            <a:endParaRPr lang="ru-RU"/>
          </a:p>
        </c:txPr>
      </c:legendEntry>
      <c:layout>
        <c:manualLayout>
          <c:xMode val="edge"/>
          <c:yMode val="edge"/>
          <c:x val="0"/>
          <c:y val="0.47388881175747549"/>
          <c:w val="0.99840749248671068"/>
          <c:h val="0.45295543346754197"/>
        </c:manualLayout>
      </c:layout>
      <c:spPr>
        <a:ln cap="sq"/>
      </c:spPr>
      <c:txPr>
        <a:bodyPr/>
        <a:lstStyle/>
        <a:p>
          <a:pPr>
            <a:defRPr sz="1201" kern="1200" spc="-100" baseline="0"/>
          </a:pPr>
          <a:endParaRPr lang="ru-RU"/>
        </a:p>
      </c:txPr>
    </c:legend>
    <c:plotVisOnly val="1"/>
    <c:dispBlanksAs val="gap"/>
  </c:chart>
  <c:spPr>
    <a:gradFill flip="none" rotWithShape="1">
      <a:gsLst>
        <a:gs pos="0">
          <a:schemeClr val="accent1">
            <a:lumMod val="20000"/>
            <a:lumOff val="80000"/>
          </a:schemeClr>
        </a:gs>
        <a:gs pos="39999">
          <a:srgbClr val="85C2FF"/>
        </a:gs>
        <a:gs pos="70000">
          <a:srgbClr val="C4D6EB"/>
        </a:gs>
        <a:gs pos="100000">
          <a:srgbClr val="FFEBFA"/>
        </a:gs>
      </a:gsLst>
      <a:lin ang="5400000" scaled="1"/>
      <a:tileRect/>
    </a:gradFill>
    <a:ln>
      <a:noFill/>
    </a:ln>
  </c:sp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566</Words>
  <Characters>4340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Kazn1</dc:creator>
  <cp:lastModifiedBy>Admin</cp:lastModifiedBy>
  <cp:revision>7</cp:revision>
  <cp:lastPrinted>2016-05-24T06:15:00Z</cp:lastPrinted>
  <dcterms:created xsi:type="dcterms:W3CDTF">2016-06-01T12:27:00Z</dcterms:created>
  <dcterms:modified xsi:type="dcterms:W3CDTF">2017-05-22T14:23:00Z</dcterms:modified>
</cp:coreProperties>
</file>