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C74" w:rsidRPr="00A94C74" w:rsidRDefault="00A94C74" w:rsidP="00A94C74">
      <w:pPr>
        <w:jc w:val="center"/>
        <w:rPr>
          <w:rFonts w:ascii="Times New Roman" w:hAnsi="Times New Roman"/>
          <w:b/>
          <w:sz w:val="32"/>
          <w:szCs w:val="32"/>
        </w:rPr>
      </w:pPr>
      <w:r w:rsidRPr="00A94C74">
        <w:rPr>
          <w:rFonts w:ascii="Times New Roman" w:hAnsi="Times New Roman"/>
          <w:b/>
          <w:sz w:val="32"/>
          <w:szCs w:val="32"/>
        </w:rPr>
        <w:t>ПОСТАНОВЛЕНИЕ</w:t>
      </w:r>
    </w:p>
    <w:p w:rsidR="00A94C74" w:rsidRPr="00A94C74" w:rsidRDefault="00A94C74" w:rsidP="00A94C74">
      <w:pPr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A94C74" w:rsidRPr="00A94C74" w:rsidRDefault="00A94C74" w:rsidP="00A94C74">
      <w:pPr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94C74" w:rsidRPr="00A94C74" w:rsidRDefault="00A94C74" w:rsidP="00A94C74">
      <w:pPr>
        <w:jc w:val="center"/>
        <w:rPr>
          <w:rFonts w:ascii="Times New Roman" w:hAnsi="Times New Roman"/>
          <w:b/>
          <w:sz w:val="28"/>
          <w:szCs w:val="28"/>
        </w:rPr>
      </w:pPr>
      <w:r w:rsidRPr="00A94C7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94C74" w:rsidRPr="00A94C74" w:rsidRDefault="00A94C74" w:rsidP="00A94C74">
      <w:pPr>
        <w:jc w:val="center"/>
        <w:rPr>
          <w:rFonts w:ascii="Times New Roman" w:hAnsi="Times New Roman"/>
          <w:sz w:val="28"/>
          <w:szCs w:val="28"/>
        </w:rPr>
      </w:pPr>
    </w:p>
    <w:p w:rsidR="00A94C74" w:rsidRPr="00A94C74" w:rsidRDefault="00866BCB" w:rsidP="00A94C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94C74" w:rsidRPr="00A94C74">
        <w:rPr>
          <w:rFonts w:ascii="Times New Roman" w:hAnsi="Times New Roman"/>
          <w:sz w:val="28"/>
          <w:szCs w:val="28"/>
        </w:rPr>
        <w:t>202</w:t>
      </w:r>
      <w:r w:rsidR="00E63E6E">
        <w:rPr>
          <w:rFonts w:ascii="Times New Roman" w:hAnsi="Times New Roman"/>
          <w:sz w:val="28"/>
          <w:szCs w:val="28"/>
        </w:rPr>
        <w:t>3</w:t>
      </w:r>
      <w:r w:rsidR="00A94C74" w:rsidRPr="00A94C74">
        <w:rPr>
          <w:rFonts w:ascii="Times New Roman" w:hAnsi="Times New Roman"/>
          <w:sz w:val="28"/>
          <w:szCs w:val="28"/>
        </w:rPr>
        <w:t xml:space="preserve"> г.           </w:t>
      </w:r>
      <w:r w:rsidR="00063FC0">
        <w:rPr>
          <w:rFonts w:ascii="Times New Roman" w:hAnsi="Times New Roman"/>
          <w:sz w:val="28"/>
          <w:szCs w:val="28"/>
        </w:rPr>
        <w:t xml:space="preserve">      </w:t>
      </w:r>
      <w:r w:rsidR="00A94C74" w:rsidRPr="00A94C74">
        <w:rPr>
          <w:rFonts w:ascii="Times New Roman" w:hAnsi="Times New Roman"/>
          <w:sz w:val="28"/>
          <w:szCs w:val="28"/>
        </w:rPr>
        <w:t xml:space="preserve">     г. Георгиевск                      </w:t>
      </w:r>
      <w:r w:rsidR="00063FC0">
        <w:rPr>
          <w:rFonts w:ascii="Times New Roman" w:hAnsi="Times New Roman"/>
          <w:sz w:val="28"/>
          <w:szCs w:val="28"/>
        </w:rPr>
        <w:t xml:space="preserve">  </w:t>
      </w:r>
      <w:r w:rsidR="00A94C74" w:rsidRPr="00A94C74">
        <w:rPr>
          <w:rFonts w:ascii="Times New Roman" w:hAnsi="Times New Roman"/>
          <w:sz w:val="28"/>
          <w:szCs w:val="28"/>
        </w:rPr>
        <w:t xml:space="preserve">                   № </w:t>
      </w: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21236" w:rsidRPr="00921236" w:rsidRDefault="00921236" w:rsidP="009038F8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921236">
        <w:rPr>
          <w:rFonts w:ascii="Times New Roman" w:hAnsi="Times New Roman"/>
          <w:bCs/>
          <w:sz w:val="28"/>
          <w:szCs w:val="28"/>
        </w:rPr>
        <w:t xml:space="preserve">О Порядке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921236">
        <w:rPr>
          <w:rFonts w:ascii="Times New Roman" w:hAnsi="Times New Roman"/>
          <w:bCs/>
          <w:sz w:val="28"/>
          <w:szCs w:val="28"/>
        </w:rPr>
        <w:t>, о форме и сроках формирования отчета об их исполнении</w:t>
      </w:r>
    </w:p>
    <w:p w:rsidR="00E63E6E" w:rsidRPr="00D33517" w:rsidRDefault="00E63E6E" w:rsidP="009038F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D33517" w:rsidRDefault="00E63E6E" w:rsidP="009038F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</w:rPr>
        <w:t xml:space="preserve">В соответствии </w:t>
      </w:r>
      <w:r w:rsidR="00D33517" w:rsidRPr="00D33517">
        <w:rPr>
          <w:rFonts w:ascii="Times New Roman" w:hAnsi="Times New Roman"/>
          <w:sz w:val="28"/>
          <w:szCs w:val="28"/>
        </w:rPr>
        <w:t>с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 xml:space="preserve"> частью 3 статьи 28 Федерального закона от 13 июля 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</w:t>
      </w:r>
      <w:r w:rsidR="00D33517" w:rsidRPr="00D33517">
        <w:rPr>
          <w:rFonts w:ascii="Times New Roman" w:hAnsi="Times New Roman"/>
          <w:sz w:val="28"/>
          <w:szCs w:val="28"/>
        </w:rPr>
        <w:t xml:space="preserve"> </w:t>
      </w:r>
      <w:r w:rsidRPr="00D33517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E63E6E" w:rsidRPr="00D33517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9038F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21236" w:rsidRPr="00480115" w:rsidRDefault="00D33517" w:rsidP="009038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921236" w:rsidRPr="00480115">
        <w:rPr>
          <w:rFonts w:ascii="Times New Roman" w:hAnsi="Times New Roman"/>
          <w:sz w:val="28"/>
          <w:szCs w:val="28"/>
        </w:rPr>
        <w:t>Утвердить:</w:t>
      </w:r>
    </w:p>
    <w:p w:rsidR="00921236" w:rsidRPr="00480115" w:rsidRDefault="00921236" w:rsidP="009038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Порядок формирования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sz w:val="28"/>
        </w:rPr>
        <w:t xml:space="preserve"> </w:t>
      </w:r>
      <w:r w:rsidRPr="00D33517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>, о форме и сроках формирования отчета об их исполнении (далее – Порядок) (приложение № 1</w:t>
      </w:r>
      <w:r w:rsidRPr="00480115">
        <w:rPr>
          <w:rFonts w:ascii="Times New Roman" w:hAnsi="Times New Roman"/>
          <w:sz w:val="28"/>
        </w:rPr>
        <w:t>)</w:t>
      </w:r>
      <w:r w:rsidRPr="00480115">
        <w:rPr>
          <w:rFonts w:ascii="Times New Roman" w:hAnsi="Times New Roman"/>
          <w:sz w:val="28"/>
          <w:szCs w:val="28"/>
        </w:rPr>
        <w:t>;</w:t>
      </w:r>
    </w:p>
    <w:p w:rsidR="00921236" w:rsidRPr="00480115" w:rsidRDefault="00921236" w:rsidP="009038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Форму отчета </w:t>
      </w:r>
      <w:bookmarkStart w:id="0" w:name="_Hlk125645556"/>
      <w:r w:rsidRPr="00480115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</w:t>
      </w:r>
      <w:bookmarkEnd w:id="0"/>
      <w:r w:rsidRPr="00480115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sz w:val="28"/>
        </w:rPr>
        <w:t xml:space="preserve"> </w:t>
      </w:r>
      <w:r w:rsidRPr="00D33517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(далее – Форма)</w:t>
      </w:r>
      <w:r w:rsidRPr="004801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(приложение № 2</w:t>
      </w:r>
      <w:r w:rsidRPr="00480115">
        <w:rPr>
          <w:rFonts w:ascii="Times New Roman" w:hAnsi="Times New Roman"/>
          <w:sz w:val="28"/>
        </w:rPr>
        <w:t>)</w:t>
      </w:r>
      <w:r w:rsidRPr="00480115">
        <w:rPr>
          <w:rFonts w:ascii="Times New Roman" w:hAnsi="Times New Roman"/>
          <w:sz w:val="28"/>
          <w:szCs w:val="28"/>
        </w:rPr>
        <w:t>.</w:t>
      </w:r>
    </w:p>
    <w:p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F7AB4" w:rsidRPr="00FF7AB4" w:rsidRDefault="00921236" w:rsidP="009038F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F7AB4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Pr="00FF7AB4">
        <w:rPr>
          <w:rFonts w:ascii="Times New Roman" w:hAnsi="Times New Roman"/>
          <w:sz w:val="28"/>
          <w:szCs w:val="28"/>
        </w:rPr>
        <w:t>Феодосиади</w:t>
      </w:r>
      <w:proofErr w:type="spellEnd"/>
      <w:r w:rsidRPr="00FF7AB4">
        <w:rPr>
          <w:rFonts w:ascii="Times New Roman" w:hAnsi="Times New Roman"/>
          <w:sz w:val="28"/>
          <w:szCs w:val="28"/>
        </w:rPr>
        <w:t xml:space="preserve"> А.Е.</w:t>
      </w:r>
    </w:p>
    <w:p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FF7AB4" w:rsidRPr="00FF7AB4" w:rsidRDefault="00FF7AB4" w:rsidP="009038F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FF7AB4" w:rsidRPr="00FF7AB4" w:rsidRDefault="00FF7AB4" w:rsidP="00FF7AB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5308FD" w:rsidRPr="00B63023" w:rsidRDefault="004F67B8" w:rsidP="00921236">
      <w:pPr>
        <w:shd w:val="clear" w:color="auto" w:fill="FFFFFF"/>
        <w:spacing w:line="240" w:lineRule="exact"/>
        <w:ind w:right="-284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</w:t>
      </w:r>
      <w:r w:rsidR="00F96E1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A94C7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921236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B63023"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:rsidR="00F75532" w:rsidRDefault="00F75532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04EB" w:rsidRPr="00B63023" w:rsidRDefault="001C04EB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27804966"/>
      <w:r w:rsidRPr="00B63023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Проект визируют:</w:t>
      </w: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04EB" w:rsidRPr="00B63023" w:rsidRDefault="001C04EB" w:rsidP="001C04EB">
      <w:pPr>
        <w:spacing w:line="240" w:lineRule="exact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</w:t>
      </w:r>
      <w:r w:rsidR="00B63023">
        <w:rPr>
          <w:rFonts w:ascii="Times New Roman" w:hAnsi="Times New Roman"/>
          <w:sz w:val="28"/>
          <w:szCs w:val="28"/>
        </w:rPr>
        <w:t xml:space="preserve">         </w:t>
      </w:r>
      <w:r w:rsidRPr="00B63023">
        <w:rPr>
          <w:rFonts w:ascii="Times New Roman" w:hAnsi="Times New Roman"/>
          <w:sz w:val="28"/>
          <w:szCs w:val="28"/>
        </w:rPr>
        <w:t xml:space="preserve"> Л.С. Мочалова</w:t>
      </w: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023" w:rsidRPr="00B63023" w:rsidRDefault="00B63023" w:rsidP="00B63023">
      <w:pPr>
        <w:suppressAutoHyphens/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B63023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:rsidR="00B63023" w:rsidRPr="00B63023" w:rsidRDefault="00B63023" w:rsidP="00B63023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финансового</w:t>
      </w:r>
    </w:p>
    <w:p w:rsidR="00B63023" w:rsidRPr="00B63023" w:rsidRDefault="00B63023" w:rsidP="00B6302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02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B63023" w:rsidRPr="00B63023" w:rsidRDefault="00B63023" w:rsidP="00B6302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  <w:r w:rsidR="00B63023">
        <w:rPr>
          <w:rFonts w:ascii="Times New Roman" w:hAnsi="Times New Roman"/>
          <w:sz w:val="28"/>
          <w:szCs w:val="28"/>
        </w:rPr>
        <w:t xml:space="preserve"> </w:t>
      </w: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и протокола администрации  </w:t>
      </w:r>
      <w:r w:rsidR="00B6302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начальник правового</w:t>
      </w: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</w:t>
      </w:r>
      <w:r w:rsidR="00B63023">
        <w:rPr>
          <w:rFonts w:ascii="Times New Roman" w:hAnsi="Times New Roman"/>
          <w:sz w:val="28"/>
          <w:szCs w:val="28"/>
        </w:rPr>
        <w:t xml:space="preserve">      </w:t>
      </w:r>
      <w:r w:rsidRPr="00B6302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И.В.Кельм</w:t>
      </w:r>
      <w:proofErr w:type="spellEnd"/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администрации  </w:t>
      </w:r>
      <w:r w:rsidR="00B63023">
        <w:rPr>
          <w:rFonts w:ascii="Times New Roman" w:hAnsi="Times New Roman"/>
          <w:sz w:val="28"/>
          <w:szCs w:val="28"/>
        </w:rPr>
        <w:t xml:space="preserve">                </w:t>
      </w:r>
    </w:p>
    <w:p w:rsidR="001C04EB" w:rsidRPr="00B63023" w:rsidRDefault="00B63023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1C04EB" w:rsidRPr="00B63023">
        <w:rPr>
          <w:rFonts w:ascii="Times New Roman" w:hAnsi="Times New Roman"/>
          <w:sz w:val="28"/>
          <w:szCs w:val="28"/>
        </w:rPr>
        <w:t>Е.А.Тумоян</w:t>
      </w:r>
      <w:proofErr w:type="spellEnd"/>
    </w:p>
    <w:bookmarkEnd w:id="1"/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04EB" w:rsidRDefault="001C04EB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04EB" w:rsidRDefault="001C04EB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A9614E" w:rsidRDefault="00A9614E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F75532" w:rsidRDefault="00F75532" w:rsidP="001C04EB">
      <w:pPr>
        <w:jc w:val="center"/>
        <w:rPr>
          <w:sz w:val="28"/>
          <w:szCs w:val="28"/>
        </w:rPr>
      </w:pPr>
    </w:p>
    <w:p w:rsidR="00CE43FD" w:rsidRDefault="00CE43FD" w:rsidP="001C04EB">
      <w:pPr>
        <w:jc w:val="center"/>
        <w:rPr>
          <w:sz w:val="28"/>
          <w:szCs w:val="28"/>
        </w:rPr>
      </w:pPr>
    </w:p>
    <w:p w:rsidR="00CE43FD" w:rsidRDefault="00CE43FD" w:rsidP="001C04EB">
      <w:pPr>
        <w:jc w:val="center"/>
        <w:rPr>
          <w:sz w:val="28"/>
          <w:szCs w:val="28"/>
        </w:rPr>
      </w:pPr>
    </w:p>
    <w:p w:rsidR="001C04EB" w:rsidRPr="006B7B88" w:rsidRDefault="001C04EB" w:rsidP="001C04EB">
      <w:pPr>
        <w:jc w:val="center"/>
        <w:rPr>
          <w:sz w:val="28"/>
          <w:szCs w:val="28"/>
        </w:rPr>
      </w:pPr>
      <w:r w:rsidRPr="006B7B88">
        <w:rPr>
          <w:sz w:val="28"/>
          <w:szCs w:val="28"/>
        </w:rPr>
        <w:t>УКАЗАТЕЛЬ РАССЫЛКИ</w:t>
      </w:r>
    </w:p>
    <w:p w:rsidR="001C04EB" w:rsidRPr="006B7B88" w:rsidRDefault="001C04EB" w:rsidP="001C04EB">
      <w:pPr>
        <w:jc w:val="center"/>
        <w:rPr>
          <w:sz w:val="28"/>
          <w:szCs w:val="28"/>
        </w:rPr>
      </w:pPr>
    </w:p>
    <w:p w:rsidR="001C04EB" w:rsidRPr="00B63023" w:rsidRDefault="001C04EB" w:rsidP="0092123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>постановления администрации Георгиевского городского округа</w:t>
      </w:r>
    </w:p>
    <w:p w:rsidR="001C04EB" w:rsidRPr="00B63023" w:rsidRDefault="001C04EB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ind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3023">
        <w:rPr>
          <w:rFonts w:ascii="Times New Roman" w:hAnsi="Times New Roman"/>
          <w:sz w:val="28"/>
          <w:szCs w:val="28"/>
        </w:rPr>
        <w:t>от  «</w:t>
      </w:r>
      <w:proofErr w:type="gramEnd"/>
      <w:r w:rsidRPr="00B63023">
        <w:rPr>
          <w:rFonts w:ascii="Times New Roman" w:hAnsi="Times New Roman"/>
          <w:sz w:val="28"/>
          <w:szCs w:val="28"/>
        </w:rPr>
        <w:t>___»                   2023 г. «</w:t>
      </w:r>
      <w:r w:rsidR="00921236" w:rsidRPr="00921236">
        <w:rPr>
          <w:rFonts w:ascii="Times New Roman" w:hAnsi="Times New Roman"/>
          <w:bCs/>
          <w:sz w:val="28"/>
          <w:szCs w:val="28"/>
        </w:rPr>
        <w:t xml:space="preserve">О Порядке формирования </w:t>
      </w:r>
      <w:r w:rsidR="00921236" w:rsidRPr="00921236">
        <w:rPr>
          <w:rFonts w:ascii="Times New Roman" w:hAnsi="Times New Roman"/>
          <w:bCs/>
          <w:sz w:val="28"/>
        </w:rPr>
        <w:t>муниципальных</w:t>
      </w:r>
      <w:r w:rsidR="00921236"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="00921236" w:rsidRPr="00921236">
        <w:rPr>
          <w:rFonts w:ascii="Times New Roman" w:hAnsi="Times New Roman"/>
          <w:bCs/>
          <w:sz w:val="28"/>
        </w:rPr>
        <w:t>муниципальных</w:t>
      </w:r>
      <w:r w:rsidR="00921236"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="00921236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921236" w:rsidRPr="00921236">
        <w:rPr>
          <w:rFonts w:ascii="Times New Roman" w:hAnsi="Times New Roman"/>
          <w:bCs/>
          <w:sz w:val="28"/>
          <w:szCs w:val="28"/>
        </w:rPr>
        <w:t>, о форме и сроках формирования отчета об их исполнении</w:t>
      </w:r>
      <w:r w:rsidRPr="00B63023">
        <w:rPr>
          <w:rFonts w:ascii="Times New Roman" w:hAnsi="Times New Roman"/>
          <w:sz w:val="28"/>
          <w:szCs w:val="28"/>
        </w:rPr>
        <w:t>»</w:t>
      </w:r>
    </w:p>
    <w:p w:rsidR="001C04EB" w:rsidRPr="006B7B88" w:rsidRDefault="001C04EB" w:rsidP="001C04EB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1C04EB" w:rsidRPr="006B7B88" w:rsidRDefault="001C04EB" w:rsidP="001C04EB">
      <w:pPr>
        <w:spacing w:line="240" w:lineRule="exact"/>
        <w:jc w:val="center"/>
        <w:rPr>
          <w:sz w:val="28"/>
          <w:szCs w:val="28"/>
        </w:rPr>
      </w:pPr>
    </w:p>
    <w:p w:rsidR="001C04EB" w:rsidRPr="006B7B88" w:rsidRDefault="001C04EB" w:rsidP="001C04EB">
      <w:pPr>
        <w:spacing w:line="240" w:lineRule="exact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1C04EB" w:rsidRPr="006B7B88" w:rsidTr="00236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6B7B88" w:rsidRDefault="001C04EB" w:rsidP="0023693D">
            <w:pPr>
              <w:ind w:right="33"/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6B7B88" w:rsidRDefault="001C04EB" w:rsidP="0023693D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6B7B88" w:rsidRDefault="001C04EB" w:rsidP="0023693D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6B7B88" w:rsidRDefault="001C04EB" w:rsidP="0023693D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6B7B88" w:rsidRDefault="001C04EB" w:rsidP="0023693D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Ф.И.О., роспись получателя</w:t>
            </w:r>
          </w:p>
        </w:tc>
      </w:tr>
      <w:tr w:rsidR="001C04EB" w:rsidRPr="00B63023" w:rsidTr="00236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1C04EB" w:rsidP="0023693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630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1C04EB" w:rsidP="0023693D">
            <w:pPr>
              <w:spacing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6302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  <w:r w:rsidRPr="00B630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4EB" w:rsidRPr="00B63023" w:rsidTr="00236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1C04EB" w:rsidP="0023693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630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4A287D" w:rsidP="0023693D">
            <w:pPr>
              <w:spacing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  <w:r w:rsidRPr="00B630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4EB" w:rsidRPr="00B63023" w:rsidTr="00236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1C04EB" w:rsidP="0023693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630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1C04EB" w:rsidP="0023693D">
            <w:pPr>
              <w:suppressAutoHyphens/>
              <w:spacing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023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  <w:r w:rsidRPr="00B630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B" w:rsidRPr="00B63023" w:rsidRDefault="001C04EB" w:rsidP="0023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4EB" w:rsidRPr="00B63023" w:rsidRDefault="001C04EB" w:rsidP="001C04EB">
      <w:pPr>
        <w:jc w:val="both"/>
        <w:rPr>
          <w:rFonts w:ascii="Times New Roman" w:hAnsi="Times New Roman"/>
          <w:sz w:val="28"/>
          <w:szCs w:val="28"/>
        </w:rPr>
      </w:pPr>
    </w:p>
    <w:p w:rsidR="001C04EB" w:rsidRPr="00B63023" w:rsidRDefault="001C04EB" w:rsidP="001C04EB">
      <w:pPr>
        <w:jc w:val="both"/>
        <w:rPr>
          <w:rFonts w:ascii="Times New Roman" w:hAnsi="Times New Roman"/>
          <w:sz w:val="28"/>
          <w:szCs w:val="28"/>
        </w:rPr>
      </w:pPr>
    </w:p>
    <w:p w:rsidR="001C04EB" w:rsidRPr="00B63023" w:rsidRDefault="001C04EB" w:rsidP="001C04EB">
      <w:pPr>
        <w:jc w:val="both"/>
        <w:rPr>
          <w:rFonts w:ascii="Times New Roman" w:hAnsi="Times New Roman"/>
          <w:sz w:val="28"/>
          <w:szCs w:val="28"/>
        </w:rPr>
      </w:pP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Георгиевского городского округа                                  </w:t>
      </w:r>
      <w:r w:rsidR="00B63023">
        <w:rPr>
          <w:rFonts w:ascii="Times New Roman" w:hAnsi="Times New Roman"/>
          <w:sz w:val="28"/>
          <w:szCs w:val="28"/>
        </w:rPr>
        <w:t xml:space="preserve">       </w:t>
      </w:r>
      <w:r w:rsidRPr="00B6302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63023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Ставропольского края   </w:t>
      </w: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04EB" w:rsidRDefault="001C04EB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63023">
        <w:rPr>
          <w:rFonts w:ascii="Times New Roman" w:hAnsi="Times New Roman"/>
          <w:sz w:val="22"/>
          <w:szCs w:val="22"/>
        </w:rPr>
        <w:t>Н.Ю.Шипкова</w:t>
      </w:r>
      <w:proofErr w:type="spellEnd"/>
      <w:r w:rsidRPr="00B63023">
        <w:rPr>
          <w:rFonts w:ascii="Times New Roman" w:hAnsi="Times New Roman"/>
          <w:sz w:val="22"/>
          <w:szCs w:val="22"/>
        </w:rPr>
        <w:t xml:space="preserve"> </w:t>
      </w:r>
    </w:p>
    <w:p w:rsidR="001C04EB" w:rsidRDefault="001C04EB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B63023">
        <w:rPr>
          <w:rFonts w:ascii="Times New Roman" w:hAnsi="Times New Roman"/>
          <w:sz w:val="22"/>
          <w:szCs w:val="22"/>
        </w:rPr>
        <w:t>35917</w:t>
      </w: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75532" w:rsidRDefault="00F75532" w:rsidP="00A9614E">
      <w:pPr>
        <w:tabs>
          <w:tab w:val="left" w:pos="709"/>
        </w:tabs>
        <w:ind w:left="5670"/>
        <w:jc w:val="center"/>
        <w:rPr>
          <w:bCs/>
          <w:szCs w:val="28"/>
        </w:rPr>
      </w:pPr>
    </w:p>
    <w:p w:rsidR="005D20DC" w:rsidRDefault="005D20DC" w:rsidP="00A9614E">
      <w:pPr>
        <w:tabs>
          <w:tab w:val="left" w:pos="709"/>
        </w:tabs>
        <w:ind w:left="5670"/>
        <w:jc w:val="center"/>
        <w:rPr>
          <w:bCs/>
          <w:szCs w:val="28"/>
        </w:rPr>
      </w:pPr>
    </w:p>
    <w:p w:rsidR="00CE43FD" w:rsidRDefault="00CE43FD" w:rsidP="005D20DC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A9614E" w:rsidRPr="005D20DC" w:rsidRDefault="00A9614E" w:rsidP="005D20DC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5D20DC">
        <w:rPr>
          <w:rFonts w:ascii="Times New Roman" w:hAnsi="Times New Roman"/>
          <w:bCs/>
          <w:sz w:val="28"/>
          <w:szCs w:val="28"/>
        </w:rPr>
        <w:t>ПРИЛОЖЕНИЕ № 1</w:t>
      </w:r>
    </w:p>
    <w:p w:rsidR="00A9614E" w:rsidRDefault="00A9614E" w:rsidP="005D20DC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5D20DC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  <w:r w:rsidR="005D20DC" w:rsidRPr="005D20DC">
        <w:rPr>
          <w:rFonts w:ascii="Times New Roman" w:hAnsi="Times New Roman"/>
          <w:bCs/>
          <w:sz w:val="28"/>
          <w:szCs w:val="28"/>
        </w:rPr>
        <w:t xml:space="preserve"> Георгиевского городского округа Ставропольского края от ________2023 г. № __</w:t>
      </w:r>
    </w:p>
    <w:p w:rsidR="005D20DC" w:rsidRDefault="005D20DC" w:rsidP="005D20DC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5D20DC" w:rsidRDefault="005D20DC" w:rsidP="005D20DC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5D20DC" w:rsidRDefault="005D20DC" w:rsidP="005D20DC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5D20DC" w:rsidRPr="005D20DC" w:rsidRDefault="005D20DC" w:rsidP="005D20DC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921236">
        <w:rPr>
          <w:rFonts w:ascii="Times New Roman" w:hAnsi="Times New Roman"/>
          <w:bCs/>
          <w:caps/>
          <w:sz w:val="28"/>
        </w:rPr>
        <w:t xml:space="preserve">Порядок </w:t>
      </w:r>
    </w:p>
    <w:p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</w:rPr>
      </w:pPr>
      <w:r w:rsidRPr="00921236">
        <w:rPr>
          <w:rFonts w:ascii="Times New Roman" w:hAnsi="Times New Roman"/>
          <w:bCs/>
          <w:sz w:val="28"/>
          <w:szCs w:val="28"/>
        </w:rPr>
        <w:t>формирования</w:t>
      </w:r>
      <w:r w:rsidRPr="00921236">
        <w:rPr>
          <w:rFonts w:ascii="Times New Roman" w:hAnsi="Times New Roman"/>
          <w:bCs/>
          <w:sz w:val="28"/>
        </w:rPr>
        <w:t xml:space="preserve"> 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21236" w:rsidRPr="00480115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921236" w:rsidRPr="00480115" w:rsidRDefault="00921236" w:rsidP="009038F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2" w:name="P53"/>
      <w:bookmarkEnd w:id="2"/>
    </w:p>
    <w:p w:rsidR="00921236" w:rsidRPr="00480115" w:rsidRDefault="00921236" w:rsidP="009038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921236" w:rsidRPr="00480115" w:rsidRDefault="00921236" w:rsidP="0090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921236" w:rsidRPr="00480115" w:rsidRDefault="00921236" w:rsidP="0090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(далее - Федеральный закон);</w:t>
      </w:r>
    </w:p>
    <w:p w:rsidR="00921236" w:rsidRPr="00480115" w:rsidRDefault="00921236" w:rsidP="0090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921236" w:rsidRPr="00480115" w:rsidRDefault="00921236" w:rsidP="0090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921236" w:rsidRPr="00480115" w:rsidRDefault="00921236" w:rsidP="0090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921236" w:rsidRPr="00480115" w:rsidRDefault="00921236" w:rsidP="0092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921236" w:rsidRPr="00480115" w:rsidRDefault="00921236" w:rsidP="009212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480115">
        <w:rPr>
          <w:rFonts w:ascii="Times New Roman" w:hAnsi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Pr="00480115">
          <w:rPr>
            <w:rFonts w:ascii="Times New Roman" w:hAnsi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921236" w:rsidRPr="00480115" w:rsidRDefault="00921236" w:rsidP="009212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в форме электронного документа в </w:t>
      </w:r>
      <w:r w:rsidR="003F6754">
        <w:rPr>
          <w:rFonts w:ascii="Times New Roman" w:hAnsi="Times New Roman"/>
          <w:sz w:val="28"/>
          <w:szCs w:val="28"/>
        </w:rPr>
        <w:t>электронном бюджете</w:t>
      </w:r>
      <w:r w:rsidRPr="00480115">
        <w:rPr>
          <w:rFonts w:ascii="Times New Roman" w:hAnsi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480115">
          <w:rPr>
            <w:rFonts w:ascii="Times New Roman" w:hAnsi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21236" w:rsidRPr="00480115" w:rsidRDefault="00921236" w:rsidP="009212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4. Информация об объеме оказания </w:t>
      </w:r>
      <w:r w:rsidRPr="001242B1">
        <w:rPr>
          <w:rFonts w:ascii="Times New Roman" w:hAnsi="Times New Roman"/>
          <w:sz w:val="28"/>
          <w:szCs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включается в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на основании данных об 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объеме оказываемых </w:t>
      </w:r>
      <w:r w:rsidRPr="001242B1">
        <w:rPr>
          <w:rFonts w:ascii="Times New Roman" w:hAnsi="Times New Roman"/>
          <w:sz w:val="28"/>
          <w:szCs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включенных в </w:t>
      </w:r>
      <w:r w:rsidRPr="003F6754">
        <w:rPr>
          <w:rFonts w:ascii="Times New Roman" w:hAnsi="Times New Roman"/>
          <w:iCs/>
          <w:sz w:val="28"/>
          <w:szCs w:val="28"/>
        </w:rPr>
        <w:t>обоснования бюджетных ассигнований, формируемые главными распорядителями средств бюджета</w:t>
      </w:r>
      <w:r w:rsidRPr="00480115">
        <w:rPr>
          <w:rFonts w:ascii="Times New Roman" w:hAnsi="Times New Roman"/>
          <w:i/>
          <w:sz w:val="28"/>
          <w:szCs w:val="28"/>
        </w:rPr>
        <w:t xml:space="preserve">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и методикой планирования бюджетных ассигнований бюджета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, определенными финансовым органом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921236" w:rsidRPr="00480115" w:rsidRDefault="00921236" w:rsidP="009212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(далее - укрупненная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480115">
        <w:rPr>
          <w:rFonts w:ascii="Times New Roman" w:hAnsi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Pr="001242B1">
        <w:rPr>
          <w:rFonts w:ascii="Times New Roman" w:hAnsi="Times New Roman"/>
          <w:sz w:val="28"/>
          <w:szCs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и (или) условиями (формами)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в отношении укрупненных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услуг.</w:t>
      </w:r>
    </w:p>
    <w:p w:rsidR="00921236" w:rsidRPr="00480115" w:rsidRDefault="00921236" w:rsidP="00D654A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по форме согласно приложению к настоящему порядку в процессе формирования бюджета </w:t>
      </w:r>
      <w:r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DF0D47">
        <w:rPr>
          <w:rFonts w:ascii="Times New Roman" w:hAnsi="Times New Roman"/>
          <w:iCs/>
          <w:sz w:val="28"/>
          <w:szCs w:val="28"/>
        </w:rPr>
        <w:t>муниципальной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921236" w:rsidRPr="00480115" w:rsidRDefault="00921236" w:rsidP="00D654A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общие сведения о </w:t>
      </w:r>
      <w:r>
        <w:rPr>
          <w:rFonts w:ascii="Times New Roman" w:hAnsi="Times New Roman"/>
          <w:sz w:val="28"/>
        </w:rPr>
        <w:t xml:space="preserve">муниципальном </w:t>
      </w:r>
      <w:r w:rsidRPr="00480115">
        <w:rPr>
          <w:rFonts w:ascii="Times New Roman" w:hAnsi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4801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921236" w:rsidRPr="00480115" w:rsidRDefault="00921236" w:rsidP="00D654A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</w:rPr>
        <w:t>муниципальном</w:t>
      </w:r>
      <w:r w:rsidRPr="00480115">
        <w:rPr>
          <w:rFonts w:ascii="Times New Roman" w:hAnsi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1" w:history="1">
        <w:r w:rsidRPr="00480115">
          <w:rPr>
            <w:rFonts w:ascii="Times New Roman" w:hAnsi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21236" w:rsidRPr="00480115" w:rsidRDefault="00921236" w:rsidP="00D654A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</w:rPr>
        <w:t>муниципальном</w:t>
      </w:r>
      <w:r w:rsidRPr="00480115">
        <w:rPr>
          <w:rFonts w:ascii="Times New Roman" w:hAnsi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2" w:history="1">
        <w:r w:rsidRPr="00480115">
          <w:rPr>
            <w:rFonts w:ascii="Times New Roman" w:hAnsi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21236" w:rsidRPr="00480115" w:rsidRDefault="00921236" w:rsidP="00D654A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</w:rPr>
        <w:t>муниципальном</w:t>
      </w:r>
      <w:r w:rsidRPr="00480115">
        <w:rPr>
          <w:rFonts w:ascii="Times New Roman" w:hAnsi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Pr="00480115">
          <w:rPr>
            <w:rFonts w:ascii="Times New Roman" w:hAnsi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21236" w:rsidRPr="00480115" w:rsidRDefault="00921236" w:rsidP="00D654A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</w:rPr>
        <w:t>муниципальном</w:t>
      </w:r>
      <w:r w:rsidRPr="00480115">
        <w:rPr>
          <w:rFonts w:ascii="Times New Roman" w:hAnsi="Times New Roman"/>
          <w:sz w:val="28"/>
          <w:szCs w:val="28"/>
        </w:rPr>
        <w:t xml:space="preserve"> социальном заказе на срок оказания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4" w:history="1">
        <w:r w:rsidRPr="00480115">
          <w:rPr>
            <w:rFonts w:ascii="Times New Roman" w:hAnsi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(укрупненной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услуги) в очередном финансовом году и плано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вом периоде, а также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</w:rPr>
        <w:t xml:space="preserve"> услугу</w:t>
      </w:r>
      <w:r w:rsidRPr="00480115">
        <w:rPr>
          <w:rFonts w:ascii="Times New Roman" w:hAnsi="Times New Roman"/>
          <w:sz w:val="28"/>
          <w:szCs w:val="28"/>
        </w:rPr>
        <w:t xml:space="preserve">) на очередной финансовый год, приведенные в </w:t>
      </w:r>
      <w:hyperlink r:id="rId16" w:history="1">
        <w:r w:rsidRPr="00480115">
          <w:rPr>
            <w:rFonts w:ascii="Times New Roman" w:hAnsi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Pr="00480115">
          <w:rPr>
            <w:rFonts w:ascii="Times New Roman" w:hAnsi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Pr="00480115">
          <w:rPr>
            <w:rFonts w:ascii="Times New Roman" w:hAnsi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 на срок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Pr="00480115">
          <w:rPr>
            <w:rFonts w:ascii="Times New Roman" w:hAnsi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480115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7. </w:t>
      </w:r>
      <w:hyperlink r:id="rId21" w:history="1">
        <w:r w:rsidRPr="00480115">
          <w:rPr>
            <w:rFonts w:ascii="Times New Roman" w:hAnsi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/>
          <w:sz w:val="28"/>
          <w:szCs w:val="28"/>
        </w:rPr>
        <w:t>-</w:t>
      </w:r>
      <w:hyperlink r:id="rId22" w:history="1">
        <w:r w:rsidRPr="00480115">
          <w:rPr>
            <w:rFonts w:ascii="Times New Roman" w:hAnsi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480115">
          <w:rPr>
            <w:rFonts w:ascii="Times New Roman" w:hAnsi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/>
          <w:sz w:val="28"/>
          <w:szCs w:val="28"/>
        </w:rPr>
        <w:t>-</w:t>
      </w:r>
      <w:hyperlink r:id="rId24" w:history="1">
        <w:r w:rsidRPr="00480115">
          <w:rPr>
            <w:rFonts w:ascii="Times New Roman" w:hAnsi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9. Показатели, характеризующие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5" w:history="1">
        <w:r w:rsidRPr="00480115">
          <w:rPr>
            <w:rFonts w:ascii="Times New Roman" w:hAnsi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на основании: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сфере;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отчета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480115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 в отчетном финансовом году.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lastRenderedPageBreak/>
        <w:t xml:space="preserve">10. Внесение изменений в утвержденный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осуществляется в случаях: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сфере;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изменения способа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и перераспределения объема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Pr="00480115">
          <w:rPr>
            <w:rFonts w:ascii="Times New Roman" w:hAnsi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изменения сведений, включенных в форму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</w:t>
      </w:r>
      <w:hyperlink r:id="rId28" w:history="1">
        <w:r w:rsidRPr="00480115">
          <w:rPr>
            <w:rFonts w:ascii="Times New Roman" w:hAnsi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/>
          <w:sz w:val="28"/>
          <w:szCs w:val="28"/>
        </w:rPr>
        <w:t xml:space="preserve"> (приложение к настоящему Порядку).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480115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83043D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а) доступность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оказываемых </w:t>
      </w:r>
      <w:r>
        <w:rPr>
          <w:rFonts w:ascii="Times New Roman" w:hAnsi="Times New Roman"/>
          <w:sz w:val="28"/>
        </w:rPr>
        <w:t>муниципальными</w:t>
      </w:r>
      <w:r w:rsidRPr="00480115">
        <w:rPr>
          <w:rFonts w:ascii="Times New Roman" w:hAnsi="Times New Roman"/>
          <w:sz w:val="28"/>
          <w:szCs w:val="28"/>
        </w:rPr>
        <w:t xml:space="preserve"> учреждениями, для потребителей услуг;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б) количество юридических лиц, не являющихся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480115">
        <w:rPr>
          <w:rFonts w:ascii="Times New Roman" w:hAnsi="Times New Roman"/>
          <w:sz w:val="28"/>
          <w:szCs w:val="28"/>
        </w:rPr>
        <w:t xml:space="preserve"> услуга в социальной сфере.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480115">
          <w:rPr>
            <w:rFonts w:ascii="Times New Roman" w:hAnsi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Pr="00480115">
          <w:rPr>
            <w:rFonts w:ascii="Times New Roman" w:hAnsi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rFonts w:ascii="Times New Roman" w:hAnsi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3F6754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(далее –общественный совет).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13. В случае если значение показателя, указанного в </w:t>
      </w:r>
      <w:hyperlink r:id="rId33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4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 xml:space="preserve"> муниципального </w:t>
      </w:r>
      <w:r w:rsidRPr="00480115">
        <w:rPr>
          <w:rFonts w:ascii="Times New Roman" w:hAnsi="Times New Roman"/>
          <w:sz w:val="28"/>
          <w:szCs w:val="28"/>
        </w:rPr>
        <w:t>социального заказа.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lastRenderedPageBreak/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5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в </w:t>
      </w:r>
      <w:hyperlink r:id="rId36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8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сфере: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14. Информация об утвержденных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15. Уполномоченный орган в соответствии с формой отчета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i/>
          <w:sz w:val="28"/>
          <w:szCs w:val="28"/>
        </w:rPr>
        <w:t xml:space="preserve"> </w:t>
      </w:r>
      <w:r w:rsidR="003F6754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, формирует 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по итогам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480115">
          <w:rPr>
            <w:rFonts w:ascii="Times New Roman" w:hAnsi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16. Отчет об исполнении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</w:t>
      </w:r>
      <w:r w:rsidR="003F6754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17. Контроль за оказанием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921236" w:rsidRPr="00480115" w:rsidRDefault="00921236" w:rsidP="00DF0D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случае, если утвержденным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 xml:space="preserve">задания, правила осуществления контроля за оказанием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 xml:space="preserve">учреждениями, оказывающими услуги в социальной сфере в соответствии с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заказом, определяются в соответствии с порядком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задания, утвержденного </w:t>
      </w:r>
      <w:r w:rsidR="00AA33B9">
        <w:rPr>
          <w:rFonts w:ascii="Times New Roman" w:hAnsi="Times New Roman"/>
          <w:sz w:val="28"/>
          <w:szCs w:val="28"/>
        </w:rPr>
        <w:t xml:space="preserve">управлением образования администрации </w:t>
      </w:r>
      <w:r w:rsidR="00AA33B9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>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18. Предметом контроля за оказанием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включенной в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19. Целями осуществления контроля за оказанием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 xml:space="preserve">услуг 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>муниципальными</w:t>
      </w:r>
      <w:r w:rsidRPr="00480115">
        <w:rPr>
          <w:rFonts w:ascii="Times New Roman" w:hAnsi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исполнителем услуг.</w:t>
      </w:r>
    </w:p>
    <w:p w:rsidR="00921236" w:rsidRPr="00480115" w:rsidRDefault="00921236" w:rsidP="00DF0D4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22. Проверки подразделяются на: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</w:t>
      </w:r>
      <w:r w:rsidRPr="00480115">
        <w:rPr>
          <w:rFonts w:ascii="Times New Roman" w:hAnsi="Times New Roman"/>
          <w:sz w:val="28"/>
          <w:szCs w:val="28"/>
        </w:rPr>
        <w:lastRenderedPageBreak/>
        <w:t>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27. Результатами осуществления контроля за оказанием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>учреждениями, являются: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от плановых значений, установленных соглашением;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30. На основании акта проверки уполномоченный орган: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r w:rsidR="00272953" w:rsidRPr="00FF7AB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21236" w:rsidRPr="00480115" w:rsidRDefault="00921236" w:rsidP="00DF0D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сфере, установленных соглашением.</w:t>
      </w:r>
    </w:p>
    <w:p w:rsidR="00A9614E" w:rsidRPr="004A287D" w:rsidRDefault="00A9614E" w:rsidP="005D20DC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614E" w:rsidRPr="00EB3FC3" w:rsidRDefault="00A9614E" w:rsidP="00A9614E">
      <w:pPr>
        <w:spacing w:line="336" w:lineRule="auto"/>
        <w:ind w:firstLine="709"/>
        <w:rPr>
          <w:szCs w:val="28"/>
          <w:lang w:eastAsia="en-US"/>
        </w:rPr>
        <w:sectPr w:rsidR="00A9614E" w:rsidRPr="00EB3FC3" w:rsidSect="009038F8">
          <w:pgSz w:w="11906" w:h="16838"/>
          <w:pgMar w:top="1134" w:right="566" w:bottom="993" w:left="1701" w:header="708" w:footer="708" w:gutter="0"/>
          <w:cols w:space="708"/>
          <w:docGrid w:linePitch="381"/>
        </w:sectPr>
      </w:pPr>
    </w:p>
    <w:p w:rsidR="00A9614E" w:rsidRPr="00EB3FC3" w:rsidRDefault="00A9614E" w:rsidP="00A9614E">
      <w:pPr>
        <w:spacing w:line="360" w:lineRule="auto"/>
        <w:rPr>
          <w:i/>
          <w:sz w:val="18"/>
          <w:szCs w:val="18"/>
          <w:lang w:eastAsia="en-US"/>
        </w:rPr>
      </w:pPr>
      <w:r w:rsidRPr="00EB3FC3">
        <w:rPr>
          <w:i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</w:t>
      </w:r>
    </w:p>
    <w:p w:rsidR="004436F3" w:rsidRPr="00480115" w:rsidRDefault="005D20DC" w:rsidP="004436F3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83043D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4436F3" w:rsidRPr="00480115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4436F3" w:rsidRPr="00480115" w:rsidRDefault="004436F3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80115">
        <w:rPr>
          <w:rFonts w:ascii="Times New Roman" w:hAnsi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4436F3" w:rsidRPr="00480115" w:rsidTr="0026479B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36F3" w:rsidRDefault="004436F3" w:rsidP="00264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11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436F3" w:rsidRDefault="004436F3" w:rsidP="002647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436F3" w:rsidRDefault="004436F3" w:rsidP="002647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ФОРМА </w:t>
            </w:r>
          </w:p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муниципального 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социального</w:t>
            </w:r>
            <w:proofErr w:type="gramEnd"/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за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каза на оказание 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4436F3" w:rsidRPr="00480115" w:rsidTr="0026479B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социальный з</w:t>
            </w:r>
            <w:r>
              <w:rPr>
                <w:rFonts w:ascii="Times New Roman" w:hAnsi="Times New Roman"/>
                <w:color w:val="000000"/>
              </w:rPr>
              <w:t>аказ на оказание 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436F3" w:rsidRPr="00480115" w:rsidTr="0026479B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4436F3" w:rsidRPr="00480115" w:rsidTr="0026479B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 1 _______________ 20___ г.</w:t>
            </w:r>
          </w:p>
        </w:tc>
      </w:tr>
      <w:tr w:rsidR="004436F3" w:rsidRPr="00480115" w:rsidTr="0026479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4436F3" w:rsidRPr="00480115" w:rsidTr="0026479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:rsidTr="0026479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:rsidTr="0026479B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hAnsi="Times New Roman"/>
                <w:color w:val="000000"/>
              </w:rPr>
              <w:t xml:space="preserve">   (</w:t>
            </w:r>
            <w:proofErr w:type="gramEnd"/>
            <w:r w:rsidRPr="00480115">
              <w:rPr>
                <w:rFonts w:ascii="Times New Roman" w:hAnsi="Times New Roman"/>
                <w:color w:val="000000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:rsidTr="0026479B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:rsidTr="0026479B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8"/>
        <w:gridCol w:w="1571"/>
        <w:gridCol w:w="1427"/>
        <w:gridCol w:w="1427"/>
        <w:gridCol w:w="760"/>
        <w:gridCol w:w="670"/>
        <w:gridCol w:w="1731"/>
        <w:gridCol w:w="1731"/>
        <w:gridCol w:w="1347"/>
        <w:gridCol w:w="1520"/>
      </w:tblGrid>
      <w:tr w:rsidR="004436F3" w:rsidRPr="00480115" w:rsidTr="0026479B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Общие сведения о 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социальном заказе на 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азание 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уг в социальной сфере (далее -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муниципальный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 социальный</w:t>
            </w:r>
            <w:proofErr w:type="gramEnd"/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4436F3" w:rsidRPr="00480115" w:rsidTr="0026479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1.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социальном заказе на 20__ год (на очередной финансовый год)</w:t>
            </w:r>
          </w:p>
        </w:tc>
      </w:tr>
      <w:tr w:rsidR="004436F3" w:rsidRPr="00480115" w:rsidTr="0026479B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</w:t>
            </w:r>
            <w:r>
              <w:rPr>
                <w:rFonts w:ascii="Times New Roman" w:hAnsi="Times New Roman"/>
                <w:color w:val="000000"/>
              </w:rPr>
              <w:t>характеризующий объем оказания 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480115">
              <w:rPr>
                <w:rFonts w:ascii="Times New Roman" w:hAnsi="Times New Roman"/>
                <w:color w:val="000000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480115">
              <w:rPr>
                <w:rFonts w:ascii="Times New Roman" w:hAnsi="Times New Roman"/>
                <w:color w:val="000000"/>
              </w:rPr>
              <w:t xml:space="preserve">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:rsidTr="0026479B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:rsidTr="0026479B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4436F3" w:rsidRPr="00480115" w:rsidTr="0026479B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:rsidTr="0026479B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8"/>
        <w:gridCol w:w="1571"/>
        <w:gridCol w:w="1427"/>
        <w:gridCol w:w="1427"/>
        <w:gridCol w:w="760"/>
        <w:gridCol w:w="670"/>
        <w:gridCol w:w="1731"/>
        <w:gridCol w:w="1731"/>
        <w:gridCol w:w="1347"/>
        <w:gridCol w:w="1520"/>
      </w:tblGrid>
      <w:tr w:rsidR="004436F3" w:rsidRPr="00480115" w:rsidTr="0026479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социальном заказе на 20__ год (на 1-ый год планового периода)</w:t>
            </w:r>
          </w:p>
        </w:tc>
      </w:tr>
      <w:tr w:rsidR="004436F3" w:rsidRPr="00480115" w:rsidTr="0026479B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:rsidTr="0026479B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:rsidTr="0026479B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:rsidTr="0026479B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8"/>
        <w:gridCol w:w="1571"/>
        <w:gridCol w:w="1427"/>
        <w:gridCol w:w="1427"/>
        <w:gridCol w:w="760"/>
        <w:gridCol w:w="670"/>
        <w:gridCol w:w="1731"/>
        <w:gridCol w:w="1731"/>
        <w:gridCol w:w="1347"/>
        <w:gridCol w:w="1520"/>
      </w:tblGrid>
      <w:tr w:rsidR="004436F3" w:rsidRPr="00480115" w:rsidTr="0026479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3.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социальном заказе на 20__ год (на 2-ой год планового периода)</w:t>
            </w:r>
          </w:p>
        </w:tc>
      </w:tr>
      <w:tr w:rsidR="004436F3" w:rsidRPr="00480115" w:rsidTr="0026479B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:rsidTr="0026479B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:rsidTr="0026479B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:rsidTr="0026479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8"/>
        <w:gridCol w:w="1571"/>
        <w:gridCol w:w="1427"/>
        <w:gridCol w:w="1427"/>
        <w:gridCol w:w="760"/>
        <w:gridCol w:w="670"/>
        <w:gridCol w:w="1731"/>
        <w:gridCol w:w="1731"/>
        <w:gridCol w:w="1347"/>
        <w:gridCol w:w="1520"/>
      </w:tblGrid>
      <w:tr w:rsidR="004436F3" w:rsidRPr="00480115" w:rsidTr="0026479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4.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за пределами планового периода)</w:t>
            </w:r>
          </w:p>
        </w:tc>
      </w:tr>
      <w:tr w:rsidR="004436F3" w:rsidRPr="00480115" w:rsidTr="0026479B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:rsidTr="0026479B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:rsidTr="0026479B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:rsidTr="0026479B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4436F3" w:rsidRPr="00480115" w:rsidTr="0026479B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II.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1.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%</w:t>
            </w:r>
          </w:p>
        </w:tc>
      </w:tr>
      <w:tr w:rsidR="004436F3" w:rsidRPr="00480115" w:rsidTr="0026479B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</w:t>
            </w:r>
            <w:r>
              <w:rPr>
                <w:rFonts w:ascii="Times New Roman" w:hAnsi="Times New Roman"/>
                <w:color w:val="000000"/>
              </w:rPr>
              <w:lastRenderedPageBreak/>
              <w:t>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26479B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:rsidTr="0026479B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4436F3" w:rsidRPr="00480115" w:rsidTr="0026479B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2.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услугу), на 20___ год (на 1-ый год планового периода)</w:t>
            </w:r>
          </w:p>
        </w:tc>
      </w:tr>
      <w:tr w:rsidR="004436F3" w:rsidRPr="00480115" w:rsidTr="004436F3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:rsidTr="004436F3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</w:t>
            </w:r>
            <w:r>
              <w:rPr>
                <w:rFonts w:ascii="Times New Roman" w:hAnsi="Times New Roman"/>
                <w:color w:val="000000"/>
              </w:rPr>
              <w:lastRenderedPageBreak/>
              <w:t>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4436F3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:rsidTr="004436F3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4436F3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4436F3" w:rsidRPr="00480115" w:rsidTr="0026479B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3.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услугу), на 20___ год (на 2-ой год планового периода)</w:t>
            </w:r>
          </w:p>
        </w:tc>
      </w:tr>
      <w:tr w:rsidR="004436F3" w:rsidRPr="00480115" w:rsidTr="0026479B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:rsidTr="0026479B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</w:t>
            </w:r>
            <w:r>
              <w:rPr>
                <w:rFonts w:ascii="Times New Roman" w:hAnsi="Times New Roman"/>
                <w:color w:val="000000"/>
              </w:rPr>
              <w:lastRenderedPageBreak/>
              <w:t>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26479B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:rsidTr="0026479B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1"/>
      </w:tblGrid>
      <w:tr w:rsidR="004436F3" w:rsidRPr="00480115" w:rsidTr="0026479B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4.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услугу), на 20__ - 20___ годы (на срок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услуги за пределами планового периода)</w:t>
            </w:r>
          </w:p>
        </w:tc>
      </w:tr>
      <w:tr w:rsidR="004436F3" w:rsidRPr="00480115" w:rsidTr="0026479B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:rsidTr="0026479B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</w:t>
            </w:r>
            <w:r>
              <w:rPr>
                <w:rFonts w:ascii="Times New Roman" w:hAnsi="Times New Roman"/>
                <w:color w:val="000000"/>
              </w:rPr>
              <w:lastRenderedPageBreak/>
              <w:t>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26479B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26479B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26479B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2"/>
        <w:gridCol w:w="797"/>
        <w:gridCol w:w="679"/>
        <w:gridCol w:w="1882"/>
        <w:gridCol w:w="1882"/>
        <w:gridCol w:w="233"/>
        <w:gridCol w:w="1394"/>
        <w:gridCol w:w="668"/>
        <w:gridCol w:w="958"/>
        <w:gridCol w:w="842"/>
        <w:gridCol w:w="1764"/>
        <w:gridCol w:w="303"/>
        <w:gridCol w:w="2068"/>
      </w:tblGrid>
      <w:tr w:rsidR="004436F3" w:rsidRPr="00480115" w:rsidTr="009038F8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услуги</w:t>
            </w:r>
          </w:p>
        </w:tc>
      </w:tr>
      <w:tr w:rsidR="004436F3" w:rsidRPr="00480115" w:rsidTr="009038F8">
        <w:trPr>
          <w:trHeight w:val="207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436F3" w:rsidRPr="00480115" w:rsidTr="009038F8">
        <w:trPr>
          <w:trHeight w:val="45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9038F8">
        <w:trPr>
          <w:trHeight w:val="243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:rsidTr="009038F8">
        <w:trPr>
          <w:trHeight w:val="28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436F3" w:rsidRPr="00480115" w:rsidTr="009038F8">
        <w:trPr>
          <w:trHeight w:val="1575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9038F8">
        <w:trPr>
          <w:trHeight w:val="288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:rsidTr="009038F8">
        <w:trPr>
          <w:gridAfter w:val="2"/>
          <w:wAfter w:w="775" w:type="pct"/>
          <w:trHeight w:val="864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Руководитель (уполномоченное лицо)</w:t>
            </w:r>
          </w:p>
        </w:tc>
        <w:tc>
          <w:tcPr>
            <w:tcW w:w="1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________________________________ (должность)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 (подпись)</w:t>
            </w: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 (Ф.И.О.)</w:t>
            </w:r>
          </w:p>
        </w:tc>
      </w:tr>
      <w:tr w:rsidR="004436F3" w:rsidRPr="00480115" w:rsidTr="009038F8">
        <w:trPr>
          <w:gridAfter w:val="2"/>
          <w:wAfter w:w="775" w:type="pct"/>
          <w:trHeight w:val="288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"   "                     20___ </w:t>
            </w:r>
          </w:p>
        </w:tc>
        <w:tc>
          <w:tcPr>
            <w:tcW w:w="1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  <w:sectPr w:rsidR="004436F3" w:rsidRPr="00480115" w:rsidSect="006536B3">
          <w:footerReference w:type="first" r:id="rId46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4436F3" w:rsidRPr="005D20DC" w:rsidRDefault="004436F3" w:rsidP="0083043D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5D20DC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83043D">
        <w:rPr>
          <w:rFonts w:ascii="Times New Roman" w:hAnsi="Times New Roman"/>
          <w:bCs/>
          <w:sz w:val="28"/>
          <w:szCs w:val="28"/>
        </w:rPr>
        <w:t>2</w:t>
      </w:r>
    </w:p>
    <w:p w:rsidR="004436F3" w:rsidRPr="00480115" w:rsidRDefault="004436F3" w:rsidP="0083043D">
      <w:pPr>
        <w:tabs>
          <w:tab w:val="left" w:pos="1608"/>
        </w:tabs>
        <w:spacing w:line="240" w:lineRule="exact"/>
        <w:ind w:left="11340"/>
        <w:rPr>
          <w:rFonts w:ascii="Times New Roman" w:hAnsi="Times New Roman"/>
        </w:rPr>
      </w:pPr>
      <w:r w:rsidRPr="005D20DC">
        <w:rPr>
          <w:rFonts w:ascii="Times New Roman" w:hAnsi="Times New Roman"/>
          <w:bCs/>
          <w:sz w:val="28"/>
          <w:szCs w:val="28"/>
        </w:rPr>
        <w:t>к постановлению администрации Георгиевского городского округа Ставропольского края от ________2023 г. № 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4436F3" w:rsidRPr="00480115" w:rsidTr="0026479B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</w:tr>
      <w:tr w:rsidR="004436F3" w:rsidRPr="00480115" w:rsidTr="0026479B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об исполнении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муниципального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социального заказа на оказание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 xml:space="preserve"> услуг в социальной сфере, отнесенных к полномочиям федеральных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органов местного самоуправления</w:t>
            </w:r>
            <w:r w:rsidRPr="00480115">
              <w:rPr>
                <w:rFonts w:ascii="Times New Roman" w:hAnsi="Times New Roman"/>
                <w:b/>
                <w:bCs/>
                <w:color w:val="000000"/>
              </w:rPr>
              <w:t>, на 20__ год и плановый период 20__ - 20__годов</w:t>
            </w:r>
          </w:p>
        </w:tc>
      </w:tr>
      <w:tr w:rsidR="004436F3" w:rsidRPr="00480115" w:rsidTr="0026479B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:rsidTr="0026479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234"/>
        <w:gridCol w:w="235"/>
        <w:gridCol w:w="235"/>
        <w:gridCol w:w="220"/>
        <w:gridCol w:w="220"/>
        <w:gridCol w:w="220"/>
        <w:gridCol w:w="229"/>
        <w:gridCol w:w="230"/>
        <w:gridCol w:w="230"/>
        <w:gridCol w:w="231"/>
        <w:gridCol w:w="225"/>
        <w:gridCol w:w="225"/>
        <w:gridCol w:w="225"/>
        <w:gridCol w:w="226"/>
        <w:gridCol w:w="243"/>
        <w:gridCol w:w="241"/>
        <w:gridCol w:w="243"/>
        <w:gridCol w:w="216"/>
        <w:gridCol w:w="222"/>
        <w:gridCol w:w="227"/>
        <w:gridCol w:w="230"/>
        <w:gridCol w:w="233"/>
        <w:gridCol w:w="234"/>
        <w:gridCol w:w="233"/>
        <w:gridCol w:w="235"/>
        <w:gridCol w:w="216"/>
        <w:gridCol w:w="216"/>
        <w:gridCol w:w="229"/>
        <w:gridCol w:w="232"/>
        <w:gridCol w:w="225"/>
        <w:gridCol w:w="226"/>
        <w:gridCol w:w="227"/>
        <w:gridCol w:w="225"/>
        <w:gridCol w:w="226"/>
        <w:gridCol w:w="225"/>
        <w:gridCol w:w="226"/>
        <w:gridCol w:w="227"/>
        <w:gridCol w:w="225"/>
        <w:gridCol w:w="226"/>
        <w:gridCol w:w="227"/>
        <w:gridCol w:w="226"/>
        <w:gridCol w:w="226"/>
        <w:gridCol w:w="233"/>
        <w:gridCol w:w="234"/>
        <w:gridCol w:w="234"/>
        <w:gridCol w:w="235"/>
        <w:gridCol w:w="233"/>
        <w:gridCol w:w="234"/>
        <w:gridCol w:w="233"/>
        <w:gridCol w:w="235"/>
        <w:gridCol w:w="233"/>
        <w:gridCol w:w="231"/>
        <w:gridCol w:w="229"/>
        <w:gridCol w:w="231"/>
        <w:gridCol w:w="222"/>
        <w:gridCol w:w="222"/>
        <w:gridCol w:w="221"/>
        <w:gridCol w:w="222"/>
        <w:gridCol w:w="222"/>
        <w:gridCol w:w="238"/>
        <w:gridCol w:w="256"/>
        <w:gridCol w:w="255"/>
        <w:gridCol w:w="257"/>
      </w:tblGrid>
      <w:tr w:rsidR="004436F3" w:rsidRPr="00480115" w:rsidTr="009038F8">
        <w:trPr>
          <w:trHeight w:val="684"/>
        </w:trPr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1164"/>
        </w:trPr>
        <w:tc>
          <w:tcPr>
            <w:tcW w:w="3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61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(муниципальных) услуг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69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122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1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6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казенными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62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7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1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</w:tr>
      <w:tr w:rsidR="0083043D" w:rsidRPr="00480115" w:rsidTr="009038F8">
        <w:trPr>
          <w:trHeight w:val="3348"/>
        </w:trPr>
        <w:tc>
          <w:tcPr>
            <w:tcW w:w="3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76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gridAfter w:val="1"/>
          <w:wAfter w:w="87" w:type="pct"/>
          <w:trHeight w:val="264"/>
        </w:trPr>
        <w:tc>
          <w:tcPr>
            <w:tcW w:w="4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gridAfter w:val="1"/>
          <w:wAfter w:w="87" w:type="pct"/>
          <w:trHeight w:val="1164"/>
        </w:trPr>
        <w:tc>
          <w:tcPr>
            <w:tcW w:w="4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694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 на «___» ___________ 20__ г.</w:t>
            </w:r>
          </w:p>
        </w:tc>
        <w:tc>
          <w:tcPr>
            <w:tcW w:w="6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480115">
              <w:rPr>
                <w:rFonts w:ascii="Times New Roman" w:hAnsi="Times New Roman"/>
                <w:sz w:val="20"/>
                <w:szCs w:val="20"/>
              </w:rPr>
              <w:t>фактического  отклонения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5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55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Доля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</w:tr>
      <w:tr w:rsidR="0083043D" w:rsidRPr="00480115" w:rsidTr="009038F8">
        <w:trPr>
          <w:gridAfter w:val="1"/>
          <w:wAfter w:w="87" w:type="pct"/>
          <w:trHeight w:val="509"/>
        </w:trPr>
        <w:tc>
          <w:tcPr>
            <w:tcW w:w="4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54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(муниципальными)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773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534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53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  <w:tc>
          <w:tcPr>
            <w:tcW w:w="6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3348"/>
        </w:trPr>
        <w:tc>
          <w:tcPr>
            <w:tcW w:w="4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76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76"/>
        </w:trPr>
        <w:tc>
          <w:tcPr>
            <w:tcW w:w="495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3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26479B">
        <w:trPr>
          <w:trHeight w:val="1020"/>
        </w:trPr>
        <w:tc>
          <w:tcPr>
            <w:tcW w:w="5000" w:type="pct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</w:t>
            </w:r>
          </w:p>
        </w:tc>
      </w:tr>
      <w:tr w:rsidR="0083043D" w:rsidRPr="00480115" w:rsidTr="009038F8">
        <w:trPr>
          <w:trHeight w:val="264"/>
        </w:trPr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624"/>
        </w:trPr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5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</w:rPr>
              <w:t>определениия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6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0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6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на «___» ___________ 20__ г.</w:t>
            </w:r>
          </w:p>
        </w:tc>
        <w:tc>
          <w:tcPr>
            <w:tcW w:w="47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3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5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3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Доля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83043D" w:rsidRPr="00480115" w:rsidTr="009038F8">
        <w:trPr>
          <w:trHeight w:val="1116"/>
        </w:trPr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1704"/>
        </w:trPr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76"/>
        </w:trPr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043D" w:rsidRPr="00480115" w:rsidTr="009038F8">
        <w:trPr>
          <w:trHeight w:val="264"/>
        </w:trPr>
        <w:tc>
          <w:tcPr>
            <w:tcW w:w="26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26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76"/>
        </w:trPr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36F3" w:rsidRPr="00480115" w:rsidTr="009038F8">
        <w:trPr>
          <w:trHeight w:val="1056"/>
        </w:trPr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услугу), на "     "              20      г.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52"/>
        </w:trPr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1188"/>
        </w:trPr>
        <w:tc>
          <w:tcPr>
            <w:tcW w:w="150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</w:tr>
      <w:tr w:rsidR="0083043D" w:rsidRPr="00480115" w:rsidTr="009038F8">
        <w:trPr>
          <w:trHeight w:val="132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уникальный код организации по Сводному реест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ру</w:t>
            </w:r>
          </w:p>
        </w:tc>
        <w:tc>
          <w:tcPr>
            <w:tcW w:w="4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</w:rPr>
              <w:t>испонителя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83043D" w:rsidRPr="00480115" w:rsidTr="009038F8">
        <w:trPr>
          <w:trHeight w:val="1392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115">
              <w:rPr>
                <w:rFonts w:ascii="Times New Roman" w:hAnsi="Times New Roman"/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4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7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услуге</w:t>
            </w:r>
          </w:p>
        </w:tc>
        <w:tc>
          <w:tcPr>
            <w:tcW w:w="3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76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76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1188"/>
        </w:trPr>
        <w:tc>
          <w:tcPr>
            <w:tcW w:w="4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8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24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8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</w:tr>
      <w:tr w:rsidR="0083043D" w:rsidRPr="00480115" w:rsidTr="009038F8">
        <w:trPr>
          <w:trHeight w:val="1320"/>
        </w:trPr>
        <w:tc>
          <w:tcPr>
            <w:tcW w:w="4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6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казенными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6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9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61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8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1392"/>
        </w:trPr>
        <w:tc>
          <w:tcPr>
            <w:tcW w:w="4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686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76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76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69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804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</w:t>
            </w:r>
            <w:proofErr w:type="gramStart"/>
            <w:r w:rsidRPr="00480115">
              <w:rPr>
                <w:rFonts w:ascii="Times New Roman" w:hAnsi="Times New Roman"/>
                <w:sz w:val="20"/>
                <w:szCs w:val="20"/>
              </w:rPr>
              <w:t>),  на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"     "              20      г.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264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1116"/>
        </w:trPr>
        <w:tc>
          <w:tcPr>
            <w:tcW w:w="12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:rsidR="004436F3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6F3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6F3" w:rsidRPr="00DB2390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08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4436F3" w:rsidRPr="00480115" w:rsidTr="009038F8">
        <w:trPr>
          <w:trHeight w:val="708"/>
        </w:trPr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9038F8" w:rsidRDefault="004436F3" w:rsidP="002647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F8">
              <w:rPr>
                <w:rFonts w:ascii="Times New Roman" w:hAnsi="Times New Roman"/>
                <w:sz w:val="16"/>
                <w:szCs w:val="16"/>
              </w:rPr>
              <w:t>уникальный код организации по Сво</w:t>
            </w:r>
            <w:r w:rsidRPr="009038F8">
              <w:rPr>
                <w:rFonts w:ascii="Times New Roman" w:hAnsi="Times New Roman"/>
                <w:sz w:val="16"/>
                <w:szCs w:val="16"/>
              </w:rPr>
              <w:lastRenderedPageBreak/>
              <w:t>дному реестру</w:t>
            </w:r>
          </w:p>
        </w:tc>
        <w:tc>
          <w:tcPr>
            <w:tcW w:w="46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</w:rPr>
              <w:t>испонителя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088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115">
              <w:rPr>
                <w:rFonts w:ascii="Times New Roman" w:hAnsi="Times New Roman"/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3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76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76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услуге</w:t>
            </w:r>
            <w:proofErr w:type="gramEnd"/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76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264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792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6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 (подпись)</w:t>
            </w:r>
          </w:p>
        </w:tc>
        <w:tc>
          <w:tcPr>
            <w:tcW w:w="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__________________(Ф.И.О.)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:rsidTr="009038F8">
        <w:trPr>
          <w:trHeight w:val="52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4436F3" w:rsidRPr="00480115" w:rsidTr="009038F8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</w:rPr>
              <w:t>госудерственной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Причина превышения</w:t>
            </w:r>
          </w:p>
        </w:tc>
      </w:tr>
      <w:tr w:rsidR="004436F3" w:rsidRPr="00480115" w:rsidTr="009038F8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казенными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</w:t>
            </w:r>
            <w:proofErr w:type="gram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F3" w:rsidRPr="00480115" w:rsidRDefault="004436F3" w:rsidP="00264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:rsidTr="009038F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436F3" w:rsidRPr="00480115" w:rsidTr="009038F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36F3" w:rsidRPr="00480115" w:rsidTr="009038F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36F3" w:rsidRPr="00480115" w:rsidTr="009038F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36F3" w:rsidRPr="00480115" w:rsidTr="009038F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3" w:rsidRPr="00480115" w:rsidRDefault="004436F3" w:rsidP="0026479B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436F3" w:rsidRPr="00480115" w:rsidRDefault="004436F3" w:rsidP="004436F3">
      <w:pPr>
        <w:rPr>
          <w:rFonts w:ascii="Times New Roman" w:hAnsi="Times New Roman"/>
        </w:rPr>
      </w:pPr>
    </w:p>
    <w:p w:rsidR="00A9614E" w:rsidRPr="00EB3FC3" w:rsidRDefault="00A9614E" w:rsidP="00A9614E">
      <w:pPr>
        <w:ind w:left="8931" w:right="-31"/>
        <w:jc w:val="right"/>
        <w:rPr>
          <w:rFonts w:eastAsia="Calibri"/>
          <w:sz w:val="24"/>
          <w:szCs w:val="24"/>
          <w:lang w:eastAsia="en-US"/>
        </w:rPr>
      </w:pPr>
    </w:p>
    <w:p w:rsidR="00A9614E" w:rsidRPr="00EB3FC3" w:rsidRDefault="00A9614E" w:rsidP="00A9614E">
      <w:pPr>
        <w:jc w:val="right"/>
        <w:rPr>
          <w:rFonts w:eastAsia="Calibri"/>
          <w:sz w:val="24"/>
          <w:szCs w:val="24"/>
          <w:lang w:eastAsia="en-US"/>
        </w:rPr>
        <w:sectPr w:rsidR="00A9614E" w:rsidRPr="00EB3FC3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A9614E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9614E" w:rsidRPr="00B63023" w:rsidRDefault="00A9614E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1C04EB" w:rsidRPr="00B63023" w:rsidRDefault="001C04EB" w:rsidP="001C04EB">
      <w:pPr>
        <w:pStyle w:val="Default"/>
        <w:ind w:firstLine="709"/>
        <w:jc w:val="both"/>
        <w:rPr>
          <w:sz w:val="22"/>
          <w:szCs w:val="22"/>
          <w:lang w:eastAsia="ar-SA"/>
        </w:rPr>
      </w:pPr>
    </w:p>
    <w:p w:rsidR="001C04EB" w:rsidRPr="00B63023" w:rsidRDefault="001C04EB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C04EB" w:rsidRPr="00B63023" w:rsidSect="00E219CF">
      <w:headerReference w:type="default" r:id="rId4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376" w:rsidRDefault="00460376" w:rsidP="005E4102">
      <w:r>
        <w:separator/>
      </w:r>
    </w:p>
  </w:endnote>
  <w:endnote w:type="continuationSeparator" w:id="0">
    <w:p w:rsidR="00460376" w:rsidRDefault="00460376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6F3" w:rsidRPr="00104A38" w:rsidRDefault="004436F3" w:rsidP="00086209">
    <w:pPr>
      <w:pStyle w:val="aa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376" w:rsidRDefault="00460376" w:rsidP="005E4102">
      <w:r>
        <w:separator/>
      </w:r>
    </w:p>
  </w:footnote>
  <w:footnote w:type="continuationSeparator" w:id="0">
    <w:p w:rsidR="00460376" w:rsidRDefault="00460376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8E5" w:rsidRPr="00532924" w:rsidRDefault="009A2C0C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="006718E5"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6718E5">
      <w:rPr>
        <w:rFonts w:ascii="Times New Roman" w:hAnsi="Times New Roman"/>
        <w:noProof/>
        <w:sz w:val="28"/>
        <w:szCs w:val="28"/>
      </w:rPr>
      <w:t>89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2790620">
    <w:abstractNumId w:val="10"/>
  </w:num>
  <w:num w:numId="2" w16cid:durableId="1018973033">
    <w:abstractNumId w:val="14"/>
  </w:num>
  <w:num w:numId="3" w16cid:durableId="1513840078">
    <w:abstractNumId w:val="5"/>
  </w:num>
  <w:num w:numId="4" w16cid:durableId="1390611307">
    <w:abstractNumId w:val="16"/>
  </w:num>
  <w:num w:numId="5" w16cid:durableId="645665974">
    <w:abstractNumId w:val="4"/>
  </w:num>
  <w:num w:numId="6" w16cid:durableId="817962772">
    <w:abstractNumId w:val="15"/>
  </w:num>
  <w:num w:numId="7" w16cid:durableId="1830250181">
    <w:abstractNumId w:val="1"/>
  </w:num>
  <w:num w:numId="8" w16cid:durableId="1852598097">
    <w:abstractNumId w:val="13"/>
  </w:num>
  <w:num w:numId="9" w16cid:durableId="1628470000">
    <w:abstractNumId w:val="17"/>
  </w:num>
  <w:num w:numId="10" w16cid:durableId="232593571">
    <w:abstractNumId w:val="2"/>
  </w:num>
  <w:num w:numId="11" w16cid:durableId="797189652">
    <w:abstractNumId w:val="6"/>
  </w:num>
  <w:num w:numId="12" w16cid:durableId="711154826">
    <w:abstractNumId w:val="8"/>
    <w:lvlOverride w:ilvl="0">
      <w:startOverride w:val="1"/>
    </w:lvlOverride>
  </w:num>
  <w:num w:numId="13" w16cid:durableId="1438333342">
    <w:abstractNumId w:val="3"/>
    <w:lvlOverride w:ilvl="0">
      <w:startOverride w:val="1"/>
    </w:lvlOverride>
  </w:num>
  <w:num w:numId="14" w16cid:durableId="1455561570">
    <w:abstractNumId w:val="12"/>
    <w:lvlOverride w:ilvl="0">
      <w:startOverride w:val="1"/>
    </w:lvlOverride>
  </w:num>
  <w:num w:numId="15" w16cid:durableId="1107433702">
    <w:abstractNumId w:val="0"/>
  </w:num>
  <w:num w:numId="16" w16cid:durableId="1673989626">
    <w:abstractNumId w:val="19"/>
  </w:num>
  <w:num w:numId="17" w16cid:durableId="1691032218">
    <w:abstractNumId w:val="11"/>
  </w:num>
  <w:num w:numId="18" w16cid:durableId="1221092252">
    <w:abstractNumId w:val="18"/>
  </w:num>
  <w:num w:numId="19" w16cid:durableId="617221893">
    <w:abstractNumId w:val="9"/>
  </w:num>
  <w:num w:numId="20" w16cid:durableId="1843543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9DE"/>
    <w:rsid w:val="00001BD9"/>
    <w:rsid w:val="0000531E"/>
    <w:rsid w:val="00006A8E"/>
    <w:rsid w:val="00017D5F"/>
    <w:rsid w:val="000241E2"/>
    <w:rsid w:val="000244B4"/>
    <w:rsid w:val="00035A1A"/>
    <w:rsid w:val="00047543"/>
    <w:rsid w:val="00047EFA"/>
    <w:rsid w:val="000534A9"/>
    <w:rsid w:val="000545CB"/>
    <w:rsid w:val="00060BC0"/>
    <w:rsid w:val="00063FC0"/>
    <w:rsid w:val="00065241"/>
    <w:rsid w:val="000701CA"/>
    <w:rsid w:val="00072EE4"/>
    <w:rsid w:val="0007529F"/>
    <w:rsid w:val="00075858"/>
    <w:rsid w:val="00083926"/>
    <w:rsid w:val="000846FC"/>
    <w:rsid w:val="000A3A31"/>
    <w:rsid w:val="000B0B73"/>
    <w:rsid w:val="000B0C2E"/>
    <w:rsid w:val="000B496B"/>
    <w:rsid w:val="000C47CF"/>
    <w:rsid w:val="000E246B"/>
    <w:rsid w:val="000E59A8"/>
    <w:rsid w:val="000E722C"/>
    <w:rsid w:val="000F1F5B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E85"/>
    <w:rsid w:val="00166A23"/>
    <w:rsid w:val="0017323C"/>
    <w:rsid w:val="00177042"/>
    <w:rsid w:val="0018022C"/>
    <w:rsid w:val="001803B2"/>
    <w:rsid w:val="001946E5"/>
    <w:rsid w:val="00194FF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7149C"/>
    <w:rsid w:val="00272953"/>
    <w:rsid w:val="002826A7"/>
    <w:rsid w:val="00295060"/>
    <w:rsid w:val="00296FB9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E4E02"/>
    <w:rsid w:val="002E77A2"/>
    <w:rsid w:val="002F0D08"/>
    <w:rsid w:val="002F3D3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E422D"/>
    <w:rsid w:val="003E7A89"/>
    <w:rsid w:val="003F07B6"/>
    <w:rsid w:val="003F6754"/>
    <w:rsid w:val="004102B1"/>
    <w:rsid w:val="00413373"/>
    <w:rsid w:val="00414B79"/>
    <w:rsid w:val="004203ED"/>
    <w:rsid w:val="004233AF"/>
    <w:rsid w:val="00426A6E"/>
    <w:rsid w:val="00441F90"/>
    <w:rsid w:val="004436F3"/>
    <w:rsid w:val="00443B2F"/>
    <w:rsid w:val="004455D0"/>
    <w:rsid w:val="00445E19"/>
    <w:rsid w:val="0045303F"/>
    <w:rsid w:val="00460376"/>
    <w:rsid w:val="004639BC"/>
    <w:rsid w:val="00470F01"/>
    <w:rsid w:val="00483DD9"/>
    <w:rsid w:val="004848A9"/>
    <w:rsid w:val="00487A21"/>
    <w:rsid w:val="00487C26"/>
    <w:rsid w:val="004A0B7B"/>
    <w:rsid w:val="004A287D"/>
    <w:rsid w:val="004A35D7"/>
    <w:rsid w:val="004B2BE6"/>
    <w:rsid w:val="004B3362"/>
    <w:rsid w:val="004B3489"/>
    <w:rsid w:val="004C034B"/>
    <w:rsid w:val="004C2279"/>
    <w:rsid w:val="004C3D17"/>
    <w:rsid w:val="004C6FBB"/>
    <w:rsid w:val="004D1D58"/>
    <w:rsid w:val="004D7548"/>
    <w:rsid w:val="004F3E9D"/>
    <w:rsid w:val="004F40C4"/>
    <w:rsid w:val="004F571F"/>
    <w:rsid w:val="004F67B8"/>
    <w:rsid w:val="005031CE"/>
    <w:rsid w:val="00503C4C"/>
    <w:rsid w:val="00514617"/>
    <w:rsid w:val="00515C1F"/>
    <w:rsid w:val="005165C2"/>
    <w:rsid w:val="00517344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93090"/>
    <w:rsid w:val="0059400D"/>
    <w:rsid w:val="005A365B"/>
    <w:rsid w:val="005A59BA"/>
    <w:rsid w:val="005A6E97"/>
    <w:rsid w:val="005B6A6A"/>
    <w:rsid w:val="005B7C54"/>
    <w:rsid w:val="005C281A"/>
    <w:rsid w:val="005D0A64"/>
    <w:rsid w:val="005D20DC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70B21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02ED0"/>
    <w:rsid w:val="00717E91"/>
    <w:rsid w:val="00717EDA"/>
    <w:rsid w:val="00720420"/>
    <w:rsid w:val="007433CE"/>
    <w:rsid w:val="0074345F"/>
    <w:rsid w:val="0074663C"/>
    <w:rsid w:val="00754614"/>
    <w:rsid w:val="0076359A"/>
    <w:rsid w:val="007652A6"/>
    <w:rsid w:val="007747B4"/>
    <w:rsid w:val="00777538"/>
    <w:rsid w:val="007825EC"/>
    <w:rsid w:val="00790BD6"/>
    <w:rsid w:val="007A1A52"/>
    <w:rsid w:val="007A4DF2"/>
    <w:rsid w:val="007C2966"/>
    <w:rsid w:val="007C4D36"/>
    <w:rsid w:val="007C628B"/>
    <w:rsid w:val="007C6B9D"/>
    <w:rsid w:val="007D0905"/>
    <w:rsid w:val="007E529F"/>
    <w:rsid w:val="007F553E"/>
    <w:rsid w:val="008001F6"/>
    <w:rsid w:val="008177C3"/>
    <w:rsid w:val="0083043D"/>
    <w:rsid w:val="00834178"/>
    <w:rsid w:val="00834CBF"/>
    <w:rsid w:val="00841F05"/>
    <w:rsid w:val="00857416"/>
    <w:rsid w:val="00860DB8"/>
    <w:rsid w:val="00866BCB"/>
    <w:rsid w:val="00874883"/>
    <w:rsid w:val="008813BB"/>
    <w:rsid w:val="00885FA1"/>
    <w:rsid w:val="008A6F95"/>
    <w:rsid w:val="008A7A32"/>
    <w:rsid w:val="008B63BF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38F8"/>
    <w:rsid w:val="00904269"/>
    <w:rsid w:val="00907A0B"/>
    <w:rsid w:val="00907C5C"/>
    <w:rsid w:val="009116A0"/>
    <w:rsid w:val="009119DE"/>
    <w:rsid w:val="00921236"/>
    <w:rsid w:val="00927143"/>
    <w:rsid w:val="0093723F"/>
    <w:rsid w:val="00941390"/>
    <w:rsid w:val="0095551D"/>
    <w:rsid w:val="009648FC"/>
    <w:rsid w:val="00972D11"/>
    <w:rsid w:val="00980602"/>
    <w:rsid w:val="009853A9"/>
    <w:rsid w:val="00994930"/>
    <w:rsid w:val="009A024C"/>
    <w:rsid w:val="009A2C0C"/>
    <w:rsid w:val="009A4C20"/>
    <w:rsid w:val="009A70F5"/>
    <w:rsid w:val="009B0664"/>
    <w:rsid w:val="009B3DEB"/>
    <w:rsid w:val="009B4AFD"/>
    <w:rsid w:val="009D4D56"/>
    <w:rsid w:val="009D4F27"/>
    <w:rsid w:val="009E230F"/>
    <w:rsid w:val="009E34A8"/>
    <w:rsid w:val="009E741F"/>
    <w:rsid w:val="009F2984"/>
    <w:rsid w:val="009F459D"/>
    <w:rsid w:val="009F45EC"/>
    <w:rsid w:val="009F5EB6"/>
    <w:rsid w:val="00A0186C"/>
    <w:rsid w:val="00A01D5E"/>
    <w:rsid w:val="00A20DB6"/>
    <w:rsid w:val="00A218E9"/>
    <w:rsid w:val="00A24DDB"/>
    <w:rsid w:val="00A25136"/>
    <w:rsid w:val="00A346B5"/>
    <w:rsid w:val="00A355DC"/>
    <w:rsid w:val="00A35B87"/>
    <w:rsid w:val="00A4131E"/>
    <w:rsid w:val="00A4523D"/>
    <w:rsid w:val="00A54A09"/>
    <w:rsid w:val="00A67550"/>
    <w:rsid w:val="00A760A2"/>
    <w:rsid w:val="00A76801"/>
    <w:rsid w:val="00A83148"/>
    <w:rsid w:val="00A84C47"/>
    <w:rsid w:val="00A857F8"/>
    <w:rsid w:val="00A938AF"/>
    <w:rsid w:val="00A94C74"/>
    <w:rsid w:val="00A9614E"/>
    <w:rsid w:val="00AA33B9"/>
    <w:rsid w:val="00AA5103"/>
    <w:rsid w:val="00AB051A"/>
    <w:rsid w:val="00AD2F7A"/>
    <w:rsid w:val="00AD4B4F"/>
    <w:rsid w:val="00AE25AE"/>
    <w:rsid w:val="00AE7E0B"/>
    <w:rsid w:val="00AF319E"/>
    <w:rsid w:val="00AF548B"/>
    <w:rsid w:val="00AF5BFE"/>
    <w:rsid w:val="00AF5DAB"/>
    <w:rsid w:val="00B26D2E"/>
    <w:rsid w:val="00B320D7"/>
    <w:rsid w:val="00B322B6"/>
    <w:rsid w:val="00B35105"/>
    <w:rsid w:val="00B37634"/>
    <w:rsid w:val="00B43C09"/>
    <w:rsid w:val="00B47AC0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E5248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78C6"/>
    <w:rsid w:val="00CB2886"/>
    <w:rsid w:val="00CD7390"/>
    <w:rsid w:val="00CE43FD"/>
    <w:rsid w:val="00D04800"/>
    <w:rsid w:val="00D05B6C"/>
    <w:rsid w:val="00D07FFE"/>
    <w:rsid w:val="00D149E3"/>
    <w:rsid w:val="00D200C6"/>
    <w:rsid w:val="00D30227"/>
    <w:rsid w:val="00D33517"/>
    <w:rsid w:val="00D34FE0"/>
    <w:rsid w:val="00D36442"/>
    <w:rsid w:val="00D36BC9"/>
    <w:rsid w:val="00D4347A"/>
    <w:rsid w:val="00D46149"/>
    <w:rsid w:val="00D547F5"/>
    <w:rsid w:val="00D54FA2"/>
    <w:rsid w:val="00D56194"/>
    <w:rsid w:val="00D56CFA"/>
    <w:rsid w:val="00D5799A"/>
    <w:rsid w:val="00D60803"/>
    <w:rsid w:val="00D654AA"/>
    <w:rsid w:val="00D65E57"/>
    <w:rsid w:val="00D66ECA"/>
    <w:rsid w:val="00D74486"/>
    <w:rsid w:val="00D76798"/>
    <w:rsid w:val="00D80564"/>
    <w:rsid w:val="00D805F3"/>
    <w:rsid w:val="00D86F1E"/>
    <w:rsid w:val="00D97EAA"/>
    <w:rsid w:val="00DA264B"/>
    <w:rsid w:val="00DA7C31"/>
    <w:rsid w:val="00DB1E17"/>
    <w:rsid w:val="00DB4C4E"/>
    <w:rsid w:val="00DD74D3"/>
    <w:rsid w:val="00DF0D47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38FD"/>
    <w:rsid w:val="00EE710F"/>
    <w:rsid w:val="00EF27B8"/>
    <w:rsid w:val="00F00684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644F"/>
    <w:rsid w:val="00F602B8"/>
    <w:rsid w:val="00F66810"/>
    <w:rsid w:val="00F70DE8"/>
    <w:rsid w:val="00F73AC7"/>
    <w:rsid w:val="00F73BEA"/>
    <w:rsid w:val="00F75532"/>
    <w:rsid w:val="00F77A77"/>
    <w:rsid w:val="00F87202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4942EA6-526A-42E9-8054-A463CB8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uiPriority w:val="99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uiPriority w:val="59"/>
    <w:rsid w:val="002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6"/>
    <w:uiPriority w:val="39"/>
    <w:rsid w:val="00A96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4436F3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annotation reference"/>
    <w:uiPriority w:val="99"/>
    <w:semiHidden/>
    <w:unhideWhenUsed/>
    <w:rsid w:val="004436F3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436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4436F3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36F3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436F3"/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styleId="aff1">
    <w:name w:val="FollowedHyperlink"/>
    <w:uiPriority w:val="99"/>
    <w:semiHidden/>
    <w:unhideWhenUsed/>
    <w:rsid w:val="004436F3"/>
    <w:rPr>
      <w:color w:val="800080"/>
      <w:u w:val="single"/>
    </w:rPr>
  </w:style>
  <w:style w:type="paragraph" w:styleId="aff2">
    <w:name w:val="Revision"/>
    <w:hidden/>
    <w:uiPriority w:val="99"/>
    <w:semiHidden/>
    <w:rsid w:val="004436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90E0-6A17-47B3-89AC-675BD336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9411</Words>
  <Characters>53646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62932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User</cp:lastModifiedBy>
  <cp:revision>217</cp:revision>
  <cp:lastPrinted>2023-03-25T10:09:00Z</cp:lastPrinted>
  <dcterms:created xsi:type="dcterms:W3CDTF">2018-02-14T09:59:00Z</dcterms:created>
  <dcterms:modified xsi:type="dcterms:W3CDTF">2023-03-25T10:17:00Z</dcterms:modified>
</cp:coreProperties>
</file>